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D9312">
      <w:pPr>
        <w:pStyle w:val="2"/>
        <w:keepNext w:val="0"/>
        <w:keepLines w:val="0"/>
        <w:widowControl/>
        <w:suppressLineNumbers w:val="0"/>
        <w:spacing w:before="0" w:beforeAutospacing="0" w:after="0" w:afterAutospacing="0" w:line="570" w:lineRule="atLeast"/>
        <w:jc w:val="center"/>
      </w:pPr>
      <w:r>
        <w:rPr>
          <w:rFonts w:ascii="仿宋_GB2312" w:eastAsia="仿宋_GB2312" w:cs="仿宋_GB2312"/>
        </w:rPr>
        <w:t>翁政办发〔</w:t>
      </w:r>
      <w:r>
        <w:t>2025</w:t>
      </w:r>
      <w:r>
        <w:rPr>
          <w:rFonts w:hint="eastAsia" w:ascii="仿宋_GB2312" w:eastAsia="仿宋_GB2312" w:cs="仿宋_GB2312"/>
        </w:rPr>
        <w:t>〕</w:t>
      </w:r>
      <w:r>
        <w:t>20</w:t>
      </w:r>
      <w:r>
        <w:rPr>
          <w:rFonts w:hint="eastAsia" w:ascii="仿宋_GB2312" w:eastAsia="仿宋_GB2312" w:cs="仿宋_GB2312"/>
        </w:rPr>
        <w:t>号</w:t>
      </w:r>
    </w:p>
    <w:p w14:paraId="51000077">
      <w:pPr>
        <w:pStyle w:val="2"/>
        <w:keepNext w:val="0"/>
        <w:keepLines w:val="0"/>
        <w:widowControl/>
        <w:suppressLineNumbers w:val="0"/>
        <w:spacing w:before="0" w:beforeAutospacing="0" w:after="0" w:afterAutospacing="0" w:line="570" w:lineRule="atLeast"/>
      </w:pPr>
      <w:r>
        <w:t> </w:t>
      </w:r>
    </w:p>
    <w:p w14:paraId="695B438B">
      <w:pPr>
        <w:pStyle w:val="2"/>
        <w:keepNext w:val="0"/>
        <w:keepLines w:val="0"/>
        <w:widowControl/>
        <w:suppressLineNumbers w:val="0"/>
        <w:spacing w:before="0" w:beforeAutospacing="0" w:after="0" w:afterAutospacing="0" w:line="570" w:lineRule="atLeast"/>
        <w:jc w:val="center"/>
      </w:pPr>
      <w:r>
        <w:rPr>
          <w:rFonts w:ascii="方正小标宋简体" w:hAnsi="方正小标宋简体" w:eastAsia="方正小标宋简体" w:cs="方正小标宋简体"/>
          <w:sz w:val="44"/>
          <w:szCs w:val="44"/>
        </w:rPr>
        <w:t>关于印发《翁牛特旗</w:t>
      </w:r>
      <w:r>
        <w:rPr>
          <w:rFonts w:hint="eastAsia" w:ascii="方正小标宋简体" w:hAnsi="方正小标宋简体" w:eastAsia="方正小标宋简体" w:cs="方正小标宋简体"/>
          <w:sz w:val="44"/>
          <w:szCs w:val="44"/>
        </w:rPr>
        <w:t>最低生活保障对象</w:t>
      </w:r>
    </w:p>
    <w:p w14:paraId="4DDDC8A3">
      <w:pPr>
        <w:pStyle w:val="2"/>
        <w:keepNext w:val="0"/>
        <w:keepLines w:val="0"/>
        <w:widowControl/>
        <w:suppressLineNumbers w:val="0"/>
        <w:spacing w:before="0" w:beforeAutospacing="0" w:after="0" w:afterAutospacing="0" w:line="570" w:lineRule="atLeast"/>
        <w:jc w:val="center"/>
      </w:pPr>
      <w:r>
        <w:rPr>
          <w:rFonts w:hint="eastAsia" w:ascii="方正小标宋简体" w:hAnsi="方正小标宋简体" w:eastAsia="方正小标宋简体" w:cs="方正小标宋简体"/>
          <w:sz w:val="44"/>
          <w:szCs w:val="44"/>
        </w:rPr>
        <w:t>综合认定方案》的通知</w:t>
      </w:r>
    </w:p>
    <w:p w14:paraId="5C0E5DAE">
      <w:pPr>
        <w:pStyle w:val="2"/>
        <w:keepNext w:val="0"/>
        <w:keepLines w:val="0"/>
        <w:widowControl/>
        <w:suppressLineNumbers w:val="0"/>
        <w:spacing w:before="0" w:beforeAutospacing="0" w:after="0" w:afterAutospacing="0" w:line="570" w:lineRule="atLeast"/>
        <w:ind w:left="0" w:firstLine="640"/>
      </w:pPr>
      <w:r>
        <w:t> </w:t>
      </w:r>
    </w:p>
    <w:p w14:paraId="6883918E">
      <w:pPr>
        <w:pStyle w:val="2"/>
        <w:keepNext w:val="0"/>
        <w:keepLines w:val="0"/>
        <w:widowControl/>
        <w:suppressLineNumbers w:val="0"/>
        <w:spacing w:before="0" w:beforeAutospacing="0" w:after="0" w:afterAutospacing="0" w:line="570" w:lineRule="atLeast"/>
      </w:pPr>
      <w:r>
        <w:rPr>
          <w:rFonts w:hint="eastAsia" w:ascii="仿宋_GB2312" w:eastAsia="仿宋_GB2312" w:cs="仿宋_GB2312"/>
        </w:rPr>
        <w:t>各苏木乡镇街道人民政府（管理办）、大兴农场，旗直各有关单位：</w:t>
      </w:r>
    </w:p>
    <w:p w14:paraId="2E1ACEBA">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《翁牛特旗最低生活保障对象综合认定方案》已经旗政府</w:t>
      </w:r>
      <w:r>
        <w:t>2025</w:t>
      </w:r>
      <w:r>
        <w:rPr>
          <w:rFonts w:hint="eastAsia" w:ascii="仿宋_GB2312" w:eastAsia="仿宋_GB2312" w:cs="仿宋_GB2312"/>
        </w:rPr>
        <w:t>年第</w:t>
      </w:r>
      <w:r>
        <w:t>2</w:t>
      </w:r>
      <w:r>
        <w:rPr>
          <w:rFonts w:hint="eastAsia" w:ascii="仿宋_GB2312" w:eastAsia="仿宋_GB2312" w:cs="仿宋_GB2312"/>
        </w:rPr>
        <w:t>次常务会议审议通过，现印发给你们，请认真抓好贯彻落实。</w:t>
      </w:r>
    </w:p>
    <w:p w14:paraId="2C93DC77">
      <w:pPr>
        <w:pStyle w:val="2"/>
        <w:keepNext w:val="0"/>
        <w:keepLines w:val="0"/>
        <w:widowControl/>
        <w:suppressLineNumbers w:val="0"/>
        <w:spacing w:before="0" w:beforeAutospacing="0" w:after="0" w:afterAutospacing="0" w:line="570" w:lineRule="atLeast"/>
        <w:ind w:left="0" w:firstLine="640"/>
      </w:pPr>
      <w:r>
        <w:t> </w:t>
      </w:r>
    </w:p>
    <w:p w14:paraId="19C7527C">
      <w:pPr>
        <w:pStyle w:val="2"/>
        <w:keepNext w:val="0"/>
        <w:keepLines w:val="0"/>
        <w:widowControl/>
        <w:suppressLineNumbers w:val="0"/>
        <w:spacing w:before="0" w:beforeAutospacing="0" w:after="0" w:afterAutospacing="0" w:line="540" w:lineRule="atLeast"/>
      </w:pPr>
      <w:r>
        <w:t> </w:t>
      </w:r>
    </w:p>
    <w:p w14:paraId="7C9E8305">
      <w:pPr>
        <w:pStyle w:val="2"/>
        <w:keepNext w:val="0"/>
        <w:keepLines w:val="0"/>
        <w:widowControl/>
        <w:suppressLineNumbers w:val="0"/>
        <w:spacing w:before="0" w:beforeAutospacing="0" w:after="0" w:afterAutospacing="0" w:line="540" w:lineRule="atLeast"/>
        <w:jc w:val="center"/>
      </w:pPr>
      <w:r>
        <w:rPr>
          <w:rFonts w:hint="eastAsia" w:ascii="仿宋_GB2312" w:eastAsia="仿宋_GB2312" w:cs="仿宋_GB2312"/>
        </w:rPr>
        <w:t>                        翁牛特旗人民政府办公室</w:t>
      </w:r>
    </w:p>
    <w:p w14:paraId="645562A4">
      <w:pPr>
        <w:pStyle w:val="2"/>
        <w:keepNext w:val="0"/>
        <w:keepLines w:val="0"/>
        <w:widowControl/>
        <w:suppressLineNumbers w:val="0"/>
        <w:spacing w:before="0" w:beforeAutospacing="0" w:after="0" w:afterAutospacing="0" w:line="540" w:lineRule="atLeast"/>
        <w:ind w:left="0" w:firstLine="640"/>
        <w:jc w:val="center"/>
      </w:pPr>
      <w:r>
        <w:rPr>
          <w:rFonts w:hint="eastAsia" w:ascii="仿宋_GB2312" w:eastAsia="仿宋_GB2312" w:cs="仿宋_GB2312"/>
        </w:rPr>
        <w:t>                     </w:t>
      </w:r>
      <w:r>
        <w:t>2025</w:t>
      </w:r>
      <w:r>
        <w:rPr>
          <w:rFonts w:hint="eastAsia" w:ascii="仿宋_GB2312" w:eastAsia="仿宋_GB2312" w:cs="仿宋_GB2312"/>
        </w:rPr>
        <w:t>年</w:t>
      </w:r>
      <w:r>
        <w:t>2</w:t>
      </w:r>
      <w:r>
        <w:rPr>
          <w:rFonts w:hint="eastAsia" w:ascii="仿宋_GB2312" w:eastAsia="仿宋_GB2312" w:cs="仿宋_GB2312"/>
        </w:rPr>
        <w:t>月</w:t>
      </w:r>
      <w:r>
        <w:t>25</w:t>
      </w:r>
      <w:r>
        <w:rPr>
          <w:rFonts w:hint="eastAsia" w:ascii="仿宋_GB2312" w:eastAsia="仿宋_GB2312" w:cs="仿宋_GB2312"/>
        </w:rPr>
        <w:t>日</w:t>
      </w:r>
    </w:p>
    <w:p w14:paraId="57C5BC31">
      <w:pPr>
        <w:pStyle w:val="2"/>
        <w:keepNext w:val="0"/>
        <w:keepLines w:val="0"/>
        <w:widowControl/>
        <w:suppressLineNumbers w:val="0"/>
        <w:spacing w:before="0" w:beforeAutospacing="0" w:after="0" w:afterAutospacing="0" w:line="570" w:lineRule="atLeast"/>
        <w:jc w:val="center"/>
      </w:pPr>
      <w:r>
        <w:t> </w:t>
      </w:r>
    </w:p>
    <w:p w14:paraId="57D0109B">
      <w:pPr>
        <w:pStyle w:val="2"/>
        <w:keepNext w:val="0"/>
        <w:keepLines w:val="0"/>
        <w:widowControl/>
        <w:suppressLineNumbers w:val="0"/>
        <w:spacing w:before="0" w:beforeAutospacing="0" w:after="0" w:afterAutospacing="0" w:line="570" w:lineRule="atLeast"/>
        <w:jc w:val="center"/>
      </w:pPr>
      <w:r>
        <w:rPr>
          <w:sz w:val="44"/>
          <w:szCs w:val="44"/>
        </w:rPr>
        <w:t> </w:t>
      </w:r>
    </w:p>
    <w:p w14:paraId="61031289">
      <w:pPr>
        <w:pStyle w:val="2"/>
        <w:keepNext w:val="0"/>
        <w:keepLines w:val="0"/>
        <w:widowControl/>
        <w:suppressLineNumbers w:val="0"/>
        <w:spacing w:before="0" w:beforeAutospacing="0" w:after="0" w:afterAutospacing="0" w:line="570" w:lineRule="atLeast"/>
        <w:jc w:val="center"/>
      </w:pPr>
      <w:r>
        <w:rPr>
          <w:rFonts w:hint="eastAsia" w:ascii="方正小标宋简体" w:hAnsi="方正小标宋简体" w:eastAsia="方正小标宋简体" w:cs="方正小标宋简体"/>
          <w:sz w:val="44"/>
          <w:szCs w:val="44"/>
        </w:rPr>
        <w:t>翁牛特旗最低生活保障对象综合认定方案</w:t>
      </w:r>
    </w:p>
    <w:p w14:paraId="6D30BB83">
      <w:pPr>
        <w:pStyle w:val="2"/>
        <w:keepNext w:val="0"/>
        <w:keepLines w:val="0"/>
        <w:widowControl/>
        <w:suppressLineNumbers w:val="0"/>
        <w:spacing w:before="0" w:beforeAutospacing="0" w:after="0" w:afterAutospacing="0" w:line="570" w:lineRule="atLeast"/>
        <w:jc w:val="center"/>
      </w:pPr>
      <w:r>
        <w:rPr>
          <w:sz w:val="44"/>
          <w:szCs w:val="44"/>
        </w:rPr>
        <w:t> </w:t>
      </w:r>
    </w:p>
    <w:p w14:paraId="555A6E7D">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为进一步规范我旗最低生活保障对象认定工作，确保最低生活保障制度公开公平公正实施，根据《社会救助暂行办法》（国务院第</w:t>
      </w:r>
      <w:r>
        <w:t>649</w:t>
      </w:r>
      <w:r>
        <w:rPr>
          <w:rFonts w:hint="eastAsia" w:ascii="仿宋_GB2312" w:eastAsia="仿宋_GB2312" w:cs="仿宋_GB2312"/>
        </w:rPr>
        <w:t>号令）《最低生活保障审核确认办法》（民发〔</w:t>
      </w:r>
      <w:r>
        <w:t>2021</w:t>
      </w:r>
      <w:r>
        <w:rPr>
          <w:rFonts w:hint="eastAsia" w:ascii="仿宋_GB2312" w:eastAsia="仿宋_GB2312" w:cs="仿宋_GB2312"/>
        </w:rPr>
        <w:t>〕</w:t>
      </w:r>
      <w:r>
        <w:t>57</w:t>
      </w:r>
      <w:r>
        <w:rPr>
          <w:rFonts w:hint="eastAsia" w:ascii="仿宋_GB2312" w:eastAsia="仿宋_GB2312" w:cs="仿宋_GB2312"/>
        </w:rPr>
        <w:t>号）《民政部、财政部、中央农村工作领导小组办公室、乡村振兴局关于进一步做好最低生活保障等社会救助兜底保障工作的通知》（民发〔</w:t>
      </w:r>
      <w:r>
        <w:t>2022</w:t>
      </w:r>
      <w:r>
        <w:rPr>
          <w:rFonts w:hint="eastAsia" w:ascii="仿宋_GB2312" w:eastAsia="仿宋_GB2312" w:cs="仿宋_GB2312"/>
        </w:rPr>
        <w:t>〕</w:t>
      </w:r>
      <w:r>
        <w:t>83</w:t>
      </w:r>
      <w:r>
        <w:rPr>
          <w:rFonts w:hint="eastAsia" w:ascii="仿宋_GB2312" w:eastAsia="仿宋_GB2312" w:cs="仿宋_GB2312"/>
        </w:rPr>
        <w:t>号）《赤峰市人民政府办公室关于转发赤峰市民政局最低生活保障综合认定意见的通知》（赤政办发〔</w:t>
      </w:r>
      <w:r>
        <w:t>2023</w:t>
      </w:r>
      <w:r>
        <w:rPr>
          <w:rFonts w:hint="eastAsia" w:ascii="仿宋_GB2312" w:eastAsia="仿宋_GB2312" w:cs="仿宋_GB2312"/>
        </w:rPr>
        <w:t>〕</w:t>
      </w:r>
      <w:r>
        <w:t>45</w:t>
      </w:r>
      <w:r>
        <w:rPr>
          <w:rFonts w:hint="eastAsia" w:ascii="仿宋_GB2312" w:eastAsia="仿宋_GB2312" w:cs="仿宋_GB2312"/>
        </w:rPr>
        <w:t>号）等文件精神以及内蒙古自治区党委、自治区人民政府关于进一步做好最低生活保障综合认定工作的有关要求，结合我旗实际，制定本方案。</w:t>
      </w:r>
    </w:p>
    <w:p w14:paraId="64A71D27">
      <w:pPr>
        <w:pStyle w:val="2"/>
        <w:keepNext w:val="0"/>
        <w:keepLines w:val="0"/>
        <w:widowControl/>
        <w:suppressLineNumbers w:val="0"/>
        <w:spacing w:before="0" w:beforeAutospacing="0" w:after="0" w:afterAutospacing="0" w:line="570" w:lineRule="atLeast"/>
        <w:ind w:left="0" w:firstLine="640"/>
      </w:pPr>
      <w:r>
        <w:rPr>
          <w:rFonts w:ascii="黑体" w:hAnsi="宋体" w:eastAsia="黑体" w:cs="黑体"/>
        </w:rPr>
        <w:t>一、指导思想</w:t>
      </w:r>
    </w:p>
    <w:p w14:paraId="6C5083AA">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以习近平新时代中国特色社会主义思想为指导，以铸牢中华民族共同体意识为工作主线，全面贯彻落实党的二十大和党的二十届二中、三中全会精神以及习近平总书记对民政工作重要指示批示精神，进一步完善最低生活保障对象认定工作，做到对象认定准确、保障标准合理、管理运行高效，推动最低生活保障政策全面落实。</w:t>
      </w:r>
    </w:p>
    <w:p w14:paraId="668B5951">
      <w:pPr>
        <w:pStyle w:val="2"/>
        <w:keepNext w:val="0"/>
        <w:keepLines w:val="0"/>
        <w:widowControl/>
        <w:suppressLineNumbers w:val="0"/>
        <w:spacing w:before="0" w:beforeAutospacing="0" w:after="0" w:afterAutospacing="0" w:line="570" w:lineRule="atLeast"/>
        <w:ind w:left="0" w:firstLine="640"/>
      </w:pPr>
      <w:r>
        <w:rPr>
          <w:rFonts w:hint="eastAsia" w:ascii="黑体" w:hAnsi="宋体" w:eastAsia="黑体" w:cs="黑体"/>
        </w:rPr>
        <w:t>二、基本原则</w:t>
      </w:r>
    </w:p>
    <w:p w14:paraId="382A0346">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依据户籍、年龄、疾病、残疾、赡（扶、抚）养人情况、家庭收入情况、财产状况、医药费等合理性支出情况等综合认定最低生活保障救助对象。坚持统一口径，一个公式、一种算法计算收入的原则；坚持入户调查，家庭收入、家庭财产逢进必核的原则；坚持动态管理，分类施保、补差发放协同推进的原则；坚持便民利民，办理程序、认定结果全程公开的原则。</w:t>
      </w:r>
    </w:p>
    <w:p w14:paraId="40C646CB">
      <w:pPr>
        <w:pStyle w:val="2"/>
        <w:keepNext w:val="0"/>
        <w:keepLines w:val="0"/>
        <w:widowControl/>
        <w:suppressLineNumbers w:val="0"/>
        <w:spacing w:before="0" w:beforeAutospacing="0" w:after="0" w:afterAutospacing="0" w:line="570" w:lineRule="atLeast"/>
        <w:ind w:left="0" w:firstLine="640"/>
      </w:pPr>
      <w:r>
        <w:rPr>
          <w:rFonts w:hint="eastAsia" w:ascii="黑体" w:hAnsi="宋体" w:eastAsia="黑体" w:cs="黑体"/>
        </w:rPr>
        <w:t>三、类别划分</w:t>
      </w:r>
    </w:p>
    <w:p w14:paraId="2C94395E">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纳入最低生活保障范围的对象，按扣减重病、重残等刚性支出后核定的家庭人均收入，原则上实行按户施保、差额救助，以当地保障标准减去家庭人均收入的差额为救助金额，也可以根据申请家庭困难程度和人员情况，采取分档方式计算。救助金额达到保障标准</w:t>
      </w:r>
      <w:r>
        <w:t>90%</w:t>
      </w:r>
      <w:r>
        <w:rPr>
          <w:rFonts w:hint="eastAsia" w:ascii="仿宋_GB2312" w:eastAsia="仿宋_GB2312" w:cs="仿宋_GB2312"/>
        </w:rPr>
        <w:t>—</w:t>
      </w:r>
      <w:r>
        <w:t>100%</w:t>
      </w:r>
      <w:r>
        <w:rPr>
          <w:rFonts w:hint="eastAsia" w:ascii="仿宋_GB2312" w:eastAsia="仿宋_GB2312" w:cs="仿宋_GB2312"/>
        </w:rPr>
        <w:t>的纳入</w:t>
      </w:r>
      <w:r>
        <w:t>A</w:t>
      </w:r>
      <w:r>
        <w:rPr>
          <w:rFonts w:hint="eastAsia" w:ascii="仿宋_GB2312" w:eastAsia="仿宋_GB2312" w:cs="仿宋_GB2312"/>
        </w:rPr>
        <w:t>类保障范围，救助金额达到保障标准</w:t>
      </w:r>
      <w:r>
        <w:t>50%</w:t>
      </w:r>
      <w:r>
        <w:rPr>
          <w:rFonts w:hint="eastAsia" w:ascii="仿宋_GB2312" w:eastAsia="仿宋_GB2312" w:cs="仿宋_GB2312"/>
        </w:rPr>
        <w:t>—</w:t>
      </w:r>
      <w:r>
        <w:t>90%</w:t>
      </w:r>
      <w:r>
        <w:rPr>
          <w:rFonts w:hint="eastAsia" w:ascii="仿宋_GB2312" w:eastAsia="仿宋_GB2312" w:cs="仿宋_GB2312"/>
        </w:rPr>
        <w:t>的纳入</w:t>
      </w:r>
      <w:r>
        <w:t>B</w:t>
      </w:r>
      <w:r>
        <w:rPr>
          <w:rFonts w:hint="eastAsia" w:ascii="仿宋_GB2312" w:eastAsia="仿宋_GB2312" w:cs="仿宋_GB2312"/>
        </w:rPr>
        <w:t>类保障范围，救助金额在保障标准</w:t>
      </w:r>
      <w:r>
        <w:t>50</w:t>
      </w:r>
    </w:p>
    <w:p w14:paraId="75599881">
      <w:pPr>
        <w:pStyle w:val="2"/>
        <w:keepNext w:val="0"/>
        <w:keepLines w:val="0"/>
        <w:widowControl/>
        <w:suppressLineNumbers w:val="0"/>
        <w:spacing w:before="0" w:beforeAutospacing="0" w:after="0" w:afterAutospacing="0" w:line="570" w:lineRule="atLeast"/>
      </w:pPr>
      <w:r>
        <w:t>%</w:t>
      </w:r>
      <w:r>
        <w:rPr>
          <w:rFonts w:hint="eastAsia" w:ascii="仿宋_GB2312" w:eastAsia="仿宋_GB2312" w:cs="仿宋_GB2312"/>
        </w:rPr>
        <w:t>以下的纳入</w:t>
      </w:r>
      <w:r>
        <w:t>C</w:t>
      </w:r>
      <w:r>
        <w:rPr>
          <w:rFonts w:hint="eastAsia" w:ascii="仿宋_GB2312" w:eastAsia="仿宋_GB2312" w:cs="仿宋_GB2312"/>
        </w:rPr>
        <w:t>类保障范围。低保边缘家庭中重病、重残“单人保”按单人户核算收入的，纳入</w:t>
      </w:r>
      <w:r>
        <w:t>C</w:t>
      </w:r>
      <w:r>
        <w:rPr>
          <w:rFonts w:hint="eastAsia" w:ascii="仿宋_GB2312" w:eastAsia="仿宋_GB2312" w:cs="仿宋_GB2312"/>
        </w:rPr>
        <w:t>类低保救助。</w:t>
      </w:r>
    </w:p>
    <w:p w14:paraId="317577BD">
      <w:pPr>
        <w:pStyle w:val="2"/>
        <w:keepNext w:val="0"/>
        <w:keepLines w:val="0"/>
        <w:widowControl/>
        <w:suppressLineNumbers w:val="0"/>
        <w:spacing w:before="0" w:beforeAutospacing="0" w:after="0" w:afterAutospacing="0" w:line="570" w:lineRule="atLeast"/>
        <w:ind w:left="0" w:firstLine="640"/>
      </w:pPr>
      <w:r>
        <w:rPr>
          <w:rFonts w:hint="eastAsia" w:ascii="黑体" w:hAnsi="宋体" w:eastAsia="黑体" w:cs="黑体"/>
        </w:rPr>
        <w:t>四、申请和受理</w:t>
      </w:r>
    </w:p>
    <w:p w14:paraId="23388319">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最低生活保障以家庭为单位，由申请家庭确定</w:t>
      </w:r>
      <w:r>
        <w:t>1</w:t>
      </w:r>
      <w:r>
        <w:rPr>
          <w:rFonts w:hint="eastAsia" w:ascii="仿宋_GB2312" w:eastAsia="仿宋_GB2312" w:cs="仿宋_GB2312"/>
        </w:rPr>
        <w:t>名共同生活的家庭成员作为申请人，向户籍所在地苏木乡镇街道人民政府（管理办）、大兴农场提出书面申请。共同生活的家庭成员申请有困难的，可以委托嘎查村（居）民委员会或者其他人代为提出申请。委托申请的，应当办理相应委托手续。鼓励各地区通过“翁旗民政</w:t>
      </w:r>
      <w:r>
        <w:t>APP</w:t>
      </w:r>
      <w:r>
        <w:rPr>
          <w:rFonts w:hint="eastAsia" w:ascii="仿宋_GB2312" w:eastAsia="仿宋_GB2312" w:cs="仿宋_GB2312"/>
        </w:rPr>
        <w:t>”网上受理申请。</w:t>
      </w:r>
    </w:p>
    <w:p w14:paraId="70D9DAF0">
      <w:pPr>
        <w:pStyle w:val="2"/>
        <w:keepNext w:val="0"/>
        <w:keepLines w:val="0"/>
        <w:widowControl/>
        <w:suppressLineNumbers w:val="0"/>
        <w:spacing w:before="0" w:beforeAutospacing="0" w:after="0" w:afterAutospacing="0" w:line="570" w:lineRule="atLeast"/>
        <w:ind w:left="0" w:firstLine="640"/>
      </w:pPr>
      <w:r>
        <w:rPr>
          <w:rFonts w:ascii="楷体_GB2312" w:eastAsia="楷体_GB2312" w:cs="楷体_GB2312"/>
          <w:b/>
          <w:bCs/>
        </w:rPr>
        <w:t>（一）户籍条件</w:t>
      </w:r>
    </w:p>
    <w:p w14:paraId="723433BE">
      <w:pPr>
        <w:pStyle w:val="2"/>
        <w:keepNext w:val="0"/>
        <w:keepLines w:val="0"/>
        <w:widowControl/>
        <w:suppressLineNumbers w:val="0"/>
        <w:spacing w:before="0" w:beforeAutospacing="0" w:after="0" w:afterAutospacing="0" w:line="570" w:lineRule="atLeast"/>
        <w:ind w:left="0" w:firstLine="640"/>
      </w:pPr>
      <w:r>
        <w:t>1.</w:t>
      </w:r>
      <w:r>
        <w:rPr>
          <w:rFonts w:hint="eastAsia" w:ascii="仿宋_GB2312" w:eastAsia="仿宋_GB2312" w:cs="仿宋_GB2312"/>
        </w:rPr>
        <w:t>最低生活保障申请人及其家庭成员必须持有翁牛特旗常住户口，申请人及其家庭成员居住地与户籍地一致，且长期居住在翁牛特旗辖区范围内的。</w:t>
      </w:r>
    </w:p>
    <w:p w14:paraId="58D3229F">
      <w:pPr>
        <w:pStyle w:val="2"/>
        <w:keepNext w:val="0"/>
        <w:keepLines w:val="0"/>
        <w:widowControl/>
        <w:suppressLineNumbers w:val="0"/>
        <w:spacing w:before="0" w:beforeAutospacing="0" w:after="0" w:afterAutospacing="0" w:line="570" w:lineRule="atLeast"/>
        <w:ind w:left="0" w:firstLine="640"/>
      </w:pPr>
      <w:r>
        <w:t>2.</w:t>
      </w:r>
      <w:r>
        <w:rPr>
          <w:rFonts w:hint="eastAsia" w:ascii="仿宋_GB2312" w:eastAsia="仿宋_GB2312" w:cs="仿宋_GB2312"/>
        </w:rPr>
        <w:t>翁旗辖区内，共同生活的家庭成员户籍所在地与居住地一致的，应向户籍地提出申请；共同生活的家庭成员户籍所在地与经常居住地不一致的，可按就近便利的原则，由任一家庭成员向其户籍所在地提出申请。共同生活的家庭成员中部分成员户籍在本市其他旗县区的，可以由其中</w:t>
      </w:r>
      <w:r>
        <w:t>1</w:t>
      </w:r>
      <w:r>
        <w:rPr>
          <w:rFonts w:hint="eastAsia" w:ascii="仿宋_GB2312" w:eastAsia="仿宋_GB2312" w:cs="仿宋_GB2312"/>
        </w:rPr>
        <w:t>名户籍与经常居住地为翁旗的家庭成员向其户籍所在地提出申请。</w:t>
      </w:r>
    </w:p>
    <w:p w14:paraId="18C61BCE">
      <w:pPr>
        <w:pStyle w:val="2"/>
        <w:keepNext w:val="0"/>
        <w:keepLines w:val="0"/>
        <w:widowControl/>
        <w:suppressLineNumbers w:val="0"/>
        <w:spacing w:before="0" w:beforeAutospacing="0" w:after="0" w:afterAutospacing="0" w:line="570" w:lineRule="atLeast"/>
        <w:ind w:left="0" w:firstLine="640"/>
      </w:pPr>
      <w:r>
        <w:t>3.</w:t>
      </w:r>
      <w:r>
        <w:rPr>
          <w:rFonts w:hint="eastAsia" w:ascii="仿宋_GB2312" w:eastAsia="仿宋_GB2312" w:cs="仿宋_GB2312"/>
        </w:rPr>
        <w:t>共同生活的家庭成员分别持有非农业户口和农业户口的，原则上应将户口合并到一起再提出申请，无法合并的，按户籍类别分别申请城镇最低生活保障和农村牧区最低生活保障待遇。</w:t>
      </w:r>
    </w:p>
    <w:p w14:paraId="213E2229">
      <w:pPr>
        <w:pStyle w:val="2"/>
        <w:keepNext w:val="0"/>
        <w:keepLines w:val="0"/>
        <w:widowControl/>
        <w:suppressLineNumbers w:val="0"/>
        <w:spacing w:before="0" w:beforeAutospacing="0" w:after="0" w:afterAutospacing="0" w:line="570" w:lineRule="atLeast"/>
        <w:ind w:left="0" w:firstLine="640"/>
      </w:pPr>
      <w:r>
        <w:t>4.</w:t>
      </w:r>
      <w:r>
        <w:rPr>
          <w:rFonts w:hint="eastAsia" w:ascii="仿宋_GB2312" w:eastAsia="仿宋_GB2312" w:cs="仿宋_GB2312"/>
        </w:rPr>
        <w:t>迁入公共租赁住房或棚户区改造房、易地搬迁集中安置区的困难群众，符合条件继续享受最低生活保障待遇的，可到原申办地办理续保手续。新申请的，可在居住地或户籍地办理最低生活保障。</w:t>
      </w:r>
    </w:p>
    <w:p w14:paraId="70996283">
      <w:pPr>
        <w:pStyle w:val="2"/>
        <w:keepNext w:val="0"/>
        <w:keepLines w:val="0"/>
        <w:widowControl/>
        <w:suppressLineNumbers w:val="0"/>
        <w:spacing w:before="0" w:beforeAutospacing="0" w:after="0" w:afterAutospacing="0" w:line="570" w:lineRule="atLeast"/>
        <w:ind w:left="0" w:firstLine="640"/>
      </w:pPr>
      <w:r>
        <w:t>5.</w:t>
      </w:r>
      <w:r>
        <w:rPr>
          <w:rFonts w:hint="eastAsia" w:ascii="仿宋_GB2312" w:eastAsia="仿宋_GB2312" w:cs="仿宋_GB2312"/>
        </w:rPr>
        <w:t>户籍由农村牧区迁入城镇的，申请城市最低生活保障时，应同时符合无承包土地、不参加农村牧区集体经济收益分配等条件。</w:t>
      </w:r>
    </w:p>
    <w:p w14:paraId="62A51C7F">
      <w:pPr>
        <w:pStyle w:val="2"/>
        <w:keepNext w:val="0"/>
        <w:keepLines w:val="0"/>
        <w:widowControl/>
        <w:suppressLineNumbers w:val="0"/>
        <w:spacing w:before="0" w:beforeAutospacing="0" w:after="0" w:afterAutospacing="0" w:line="570" w:lineRule="atLeast"/>
        <w:ind w:left="0" w:firstLine="640"/>
      </w:pPr>
      <w:r>
        <w:rPr>
          <w:rFonts w:hint="eastAsia" w:ascii="楷体_GB2312" w:eastAsia="楷体_GB2312" w:cs="楷体_GB2312"/>
          <w:b/>
          <w:bCs/>
        </w:rPr>
        <w:t>（二）家庭成员认定</w:t>
      </w:r>
    </w:p>
    <w:p w14:paraId="752EC3B7">
      <w:pPr>
        <w:pStyle w:val="2"/>
        <w:keepNext w:val="0"/>
        <w:keepLines w:val="0"/>
        <w:widowControl/>
        <w:suppressLineNumbers w:val="0"/>
        <w:spacing w:before="0" w:beforeAutospacing="0" w:after="0" w:afterAutospacing="0" w:line="570" w:lineRule="atLeast"/>
        <w:ind w:left="0" w:firstLine="640"/>
      </w:pPr>
      <w:r>
        <w:rPr>
          <w:b/>
          <w:bCs/>
        </w:rPr>
        <w:t>1.</w:t>
      </w:r>
      <w:r>
        <w:rPr>
          <w:rFonts w:hint="eastAsia" w:ascii="仿宋_GB2312" w:eastAsia="仿宋_GB2312" w:cs="仿宋_GB2312"/>
          <w:b/>
          <w:bCs/>
        </w:rPr>
        <w:t>共同生活家庭成员包括：</w:t>
      </w:r>
    </w:p>
    <w:p w14:paraId="0576F336">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1</w:t>
      </w:r>
      <w:r>
        <w:rPr>
          <w:rFonts w:hint="eastAsia" w:ascii="仿宋_GB2312" w:eastAsia="仿宋_GB2312" w:cs="仿宋_GB2312"/>
        </w:rPr>
        <w:t>）配偶；</w:t>
      </w:r>
    </w:p>
    <w:p w14:paraId="40C94DE7">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2</w:t>
      </w:r>
      <w:r>
        <w:rPr>
          <w:rFonts w:hint="eastAsia" w:ascii="仿宋_GB2312" w:eastAsia="仿宋_GB2312" w:cs="仿宋_GB2312"/>
        </w:rPr>
        <w:t>）未成年子女；</w:t>
      </w:r>
    </w:p>
    <w:p w14:paraId="6277FD0A">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3</w:t>
      </w:r>
      <w:r>
        <w:rPr>
          <w:rFonts w:hint="eastAsia" w:ascii="仿宋_GB2312" w:eastAsia="仿宋_GB2312" w:cs="仿宋_GB2312"/>
        </w:rPr>
        <w:t>）已成年但不能独立生活的子女，包括在校接受全日制本科及以下学历教育的子女；</w:t>
      </w:r>
    </w:p>
    <w:p w14:paraId="7834333D">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4</w:t>
      </w:r>
      <w:r>
        <w:rPr>
          <w:rFonts w:hint="eastAsia" w:ascii="仿宋_GB2312" w:eastAsia="仿宋_GB2312" w:cs="仿宋_GB2312"/>
        </w:rPr>
        <w:t>）其他具有法定赡养、扶养、抚养义务关系在同一户籍并长期共同居住的人员。</w:t>
      </w:r>
    </w:p>
    <w:p w14:paraId="79700040">
      <w:pPr>
        <w:pStyle w:val="2"/>
        <w:keepNext w:val="0"/>
        <w:keepLines w:val="0"/>
        <w:widowControl/>
        <w:suppressLineNumbers w:val="0"/>
        <w:spacing w:before="0" w:beforeAutospacing="0" w:after="0" w:afterAutospacing="0" w:line="570" w:lineRule="atLeast"/>
        <w:ind w:left="0" w:firstLine="640"/>
      </w:pPr>
      <w:r>
        <w:rPr>
          <w:b/>
          <w:bCs/>
        </w:rPr>
        <w:t>2.</w:t>
      </w:r>
      <w:r>
        <w:rPr>
          <w:rFonts w:hint="eastAsia" w:ascii="仿宋_GB2312" w:eastAsia="仿宋_GB2312" w:cs="仿宋_GB2312"/>
          <w:b/>
          <w:bCs/>
        </w:rPr>
        <w:t>原则上下列人员不计入共同生活的家庭成员</w:t>
      </w:r>
      <w:r>
        <w:rPr>
          <w:b/>
          <w:bCs/>
        </w:rPr>
        <w:t>:</w:t>
      </w:r>
    </w:p>
    <w:p w14:paraId="25721B8F">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1</w:t>
      </w:r>
      <w:r>
        <w:rPr>
          <w:rFonts w:hint="eastAsia" w:ascii="仿宋_GB2312" w:eastAsia="仿宋_GB2312" w:cs="仿宋_GB2312"/>
        </w:rPr>
        <w:t>）连续</w:t>
      </w:r>
      <w:r>
        <w:t>3</w:t>
      </w:r>
      <w:r>
        <w:rPr>
          <w:rFonts w:hint="eastAsia" w:ascii="仿宋_GB2312" w:eastAsia="仿宋_GB2312" w:cs="仿宋_GB2312"/>
        </w:rPr>
        <w:t>年以上（含</w:t>
      </w:r>
      <w:r>
        <w:t>3</w:t>
      </w:r>
      <w:r>
        <w:rPr>
          <w:rFonts w:hint="eastAsia" w:ascii="仿宋_GB2312" w:eastAsia="仿宋_GB2312" w:cs="仿宋_GB2312"/>
        </w:rPr>
        <w:t>年）脱离家庭独立生活的宗教教职人员；</w:t>
      </w:r>
    </w:p>
    <w:p w14:paraId="64B2C8BC">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2</w:t>
      </w:r>
      <w:r>
        <w:rPr>
          <w:rFonts w:hint="eastAsia" w:ascii="仿宋_GB2312" w:eastAsia="仿宋_GB2312" w:cs="仿宋_GB2312"/>
        </w:rPr>
        <w:t>）在监狱内服刑、在戒毒所强制隔离戒毒或者宣告失踪人员；</w:t>
      </w:r>
    </w:p>
    <w:p w14:paraId="20E145E3">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3</w:t>
      </w:r>
      <w:r>
        <w:rPr>
          <w:rFonts w:hint="eastAsia" w:ascii="仿宋_GB2312" w:eastAsia="仿宋_GB2312" w:cs="仿宋_GB2312"/>
        </w:rPr>
        <w:t>）现役军人中的义务兵；</w:t>
      </w:r>
    </w:p>
    <w:p w14:paraId="5AAD50C2">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4</w:t>
      </w:r>
      <w:r>
        <w:rPr>
          <w:rFonts w:hint="eastAsia" w:ascii="仿宋_GB2312" w:eastAsia="仿宋_GB2312" w:cs="仿宋_GB2312"/>
        </w:rPr>
        <w:t>）年满</w:t>
      </w:r>
      <w:r>
        <w:t>18</w:t>
      </w:r>
      <w:r>
        <w:rPr>
          <w:rFonts w:hint="eastAsia" w:ascii="仿宋_GB2312" w:eastAsia="仿宋_GB2312" w:cs="仿宋_GB2312"/>
        </w:rPr>
        <w:t>周岁，身体健康且未接受本科及以下学历教育的子女；</w:t>
      </w:r>
    </w:p>
    <w:p w14:paraId="2FEF4765">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5</w:t>
      </w:r>
      <w:r>
        <w:rPr>
          <w:rFonts w:hint="eastAsia" w:ascii="仿宋_GB2312" w:eastAsia="仿宋_GB2312" w:cs="仿宋_GB2312"/>
        </w:rPr>
        <w:t>）接受研究生以上学历教育的子女；</w:t>
      </w:r>
    </w:p>
    <w:p w14:paraId="3CA9B5C0">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6</w:t>
      </w:r>
      <w:r>
        <w:rPr>
          <w:rFonts w:hint="eastAsia" w:ascii="仿宋_GB2312" w:eastAsia="仿宋_GB2312" w:cs="仿宋_GB2312"/>
        </w:rPr>
        <w:t>）已组建家庭的成年子女；</w:t>
      </w:r>
    </w:p>
    <w:p w14:paraId="685CE31C">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7</w:t>
      </w:r>
      <w:r>
        <w:rPr>
          <w:rFonts w:hint="eastAsia" w:ascii="仿宋_GB2312" w:eastAsia="仿宋_GB2312" w:cs="仿宋_GB2312"/>
        </w:rPr>
        <w:t>）与祖父母、外祖父母在同一户籍且共同生活但父母有抚养能力的孙子女、外孙子女；</w:t>
      </w:r>
    </w:p>
    <w:p w14:paraId="18B3ABDD">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8</w:t>
      </w:r>
      <w:r>
        <w:rPr>
          <w:rFonts w:hint="eastAsia" w:ascii="仿宋_GB2312" w:eastAsia="仿宋_GB2312" w:cs="仿宋_GB2312"/>
        </w:rPr>
        <w:t>）旗民政部门根据本条原则和有关程序认定的其他人员。</w:t>
      </w:r>
    </w:p>
    <w:p w14:paraId="305733D7">
      <w:pPr>
        <w:pStyle w:val="2"/>
        <w:keepNext w:val="0"/>
        <w:keepLines w:val="0"/>
        <w:widowControl/>
        <w:suppressLineNumbers w:val="0"/>
        <w:spacing w:before="0" w:beforeAutospacing="0" w:after="0" w:afterAutospacing="0" w:line="570" w:lineRule="atLeast"/>
        <w:ind w:left="0" w:firstLine="640"/>
      </w:pPr>
      <w:r>
        <w:rPr>
          <w:b/>
          <w:bCs/>
        </w:rPr>
        <w:t>3.</w:t>
      </w:r>
      <w:r>
        <w:rPr>
          <w:rFonts w:hint="eastAsia" w:ascii="仿宋_GB2312" w:eastAsia="仿宋_GB2312" w:cs="仿宋_GB2312"/>
          <w:b/>
          <w:bCs/>
        </w:rPr>
        <w:t>符合下列情形之一的人员，可以单独提出申请</w:t>
      </w:r>
      <w:r>
        <w:rPr>
          <w:b/>
          <w:bCs/>
        </w:rPr>
        <w:t>:</w:t>
      </w:r>
    </w:p>
    <w:p w14:paraId="63D4E43D">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1</w:t>
      </w:r>
      <w:r>
        <w:rPr>
          <w:rFonts w:hint="eastAsia" w:ascii="仿宋_GB2312" w:eastAsia="仿宋_GB2312" w:cs="仿宋_GB2312"/>
        </w:rPr>
        <w:t>）最低生活保障边缘家庭中持有中华人民共和国残疾人证的一级、二级重度残疾人和三级智力残疾人、三级精神残疾人；</w:t>
      </w:r>
    </w:p>
    <w:p w14:paraId="58DFF05E">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2</w:t>
      </w:r>
      <w:r>
        <w:rPr>
          <w:rFonts w:hint="eastAsia" w:ascii="仿宋_GB2312" w:eastAsia="仿宋_GB2312" w:cs="仿宋_GB2312"/>
        </w:rPr>
        <w:t>）成年无业的持有中华人民共和国残疾人证的一级、二级重度残疾人和三级智力残疾人、三级精神残疾人；</w:t>
      </w:r>
    </w:p>
    <w:p w14:paraId="21D63A7D">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3</w:t>
      </w:r>
      <w:r>
        <w:rPr>
          <w:rFonts w:hint="eastAsia" w:ascii="仿宋_GB2312" w:eastAsia="仿宋_GB2312" w:cs="仿宋_GB2312"/>
        </w:rPr>
        <w:t>）最低生活保障边缘家庭中患有当地有关部门认定的重特大疾病的人员。</w:t>
      </w:r>
    </w:p>
    <w:p w14:paraId="343AAF67">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4</w:t>
      </w:r>
      <w:r>
        <w:rPr>
          <w:rFonts w:hint="eastAsia" w:ascii="仿宋_GB2312" w:eastAsia="仿宋_GB2312" w:cs="仿宋_GB2312"/>
        </w:rPr>
        <w:t>）脱离家庭、在宗教场所居住</w:t>
      </w:r>
      <w:r>
        <w:t>3</w:t>
      </w:r>
      <w:r>
        <w:rPr>
          <w:rFonts w:hint="eastAsia" w:ascii="仿宋_GB2312" w:eastAsia="仿宋_GB2312" w:cs="仿宋_GB2312"/>
        </w:rPr>
        <w:t>年以上（含</w:t>
      </w:r>
      <w:r>
        <w:t>3</w:t>
      </w:r>
      <w:r>
        <w:rPr>
          <w:rFonts w:hint="eastAsia" w:ascii="仿宋_GB2312" w:eastAsia="仿宋_GB2312" w:cs="仿宋_GB2312"/>
        </w:rPr>
        <w:t>年）的生活困难的宗教教职人员；</w:t>
      </w:r>
    </w:p>
    <w:p w14:paraId="1FF62A24">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5</w:t>
      </w:r>
      <w:r>
        <w:rPr>
          <w:rFonts w:hint="eastAsia" w:ascii="仿宋_GB2312" w:eastAsia="仿宋_GB2312" w:cs="仿宋_GB2312"/>
        </w:rPr>
        <w:t>）旗民政部门规定的其他特殊困难人员。</w:t>
      </w:r>
    </w:p>
    <w:p w14:paraId="2CB484F3">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最低生活保障边缘家庭一般指不符合最低生活保障条件，家庭人均收入低于当地最低生活保障标准</w:t>
      </w:r>
      <w:r>
        <w:t>1.5</w:t>
      </w:r>
      <w:r>
        <w:rPr>
          <w:rFonts w:hint="eastAsia" w:ascii="仿宋_GB2312" w:eastAsia="仿宋_GB2312" w:cs="仿宋_GB2312"/>
        </w:rPr>
        <w:t>倍，且财产状况符合相关规定的家庭。</w:t>
      </w:r>
    </w:p>
    <w:p w14:paraId="70DF1B56">
      <w:pPr>
        <w:pStyle w:val="2"/>
        <w:keepNext w:val="0"/>
        <w:keepLines w:val="0"/>
        <w:widowControl/>
        <w:suppressLineNumbers w:val="0"/>
        <w:spacing w:before="0" w:beforeAutospacing="0" w:after="0" w:afterAutospacing="0" w:line="570" w:lineRule="atLeast"/>
        <w:ind w:left="0" w:firstLine="640"/>
      </w:pPr>
      <w:r>
        <w:rPr>
          <w:rFonts w:hint="eastAsia" w:ascii="楷体_GB2312" w:eastAsia="楷体_GB2312" w:cs="楷体_GB2312"/>
          <w:b/>
          <w:bCs/>
        </w:rPr>
        <w:t>（三）材料提供</w:t>
      </w:r>
    </w:p>
    <w:p w14:paraId="1DDA457C">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申请最低生活保障待遇应提供以下材料：</w:t>
      </w:r>
    </w:p>
    <w:p w14:paraId="0FA8B711">
      <w:pPr>
        <w:pStyle w:val="2"/>
        <w:keepNext w:val="0"/>
        <w:keepLines w:val="0"/>
        <w:widowControl/>
        <w:suppressLineNumbers w:val="0"/>
        <w:spacing w:before="0" w:beforeAutospacing="0" w:after="0" w:afterAutospacing="0" w:line="570" w:lineRule="atLeast"/>
        <w:ind w:left="0" w:firstLine="640"/>
      </w:pPr>
      <w:r>
        <w:rPr>
          <w:b/>
          <w:bCs/>
        </w:rPr>
        <w:t>1.</w:t>
      </w:r>
      <w:r>
        <w:rPr>
          <w:rFonts w:hint="eastAsia" w:ascii="仿宋_GB2312" w:eastAsia="仿宋_GB2312" w:cs="仿宋_GB2312"/>
          <w:b/>
          <w:bCs/>
        </w:rPr>
        <w:t>身份证明材料：</w:t>
      </w:r>
      <w:r>
        <w:rPr>
          <w:rFonts w:hint="eastAsia" w:ascii="仿宋_GB2312" w:eastAsia="仿宋_GB2312" w:cs="仿宋_GB2312"/>
        </w:rPr>
        <w:t>包括申请家庭成员户口簿和居民身份证原件、法定赡（扶、抚）养人居民身份证等；</w:t>
      </w:r>
    </w:p>
    <w:p w14:paraId="0E47A519">
      <w:pPr>
        <w:pStyle w:val="2"/>
        <w:keepNext w:val="0"/>
        <w:keepLines w:val="0"/>
        <w:widowControl/>
        <w:suppressLineNumbers w:val="0"/>
        <w:spacing w:before="0" w:beforeAutospacing="0" w:after="0" w:afterAutospacing="0" w:line="570" w:lineRule="atLeast"/>
        <w:ind w:left="0" w:firstLine="640"/>
      </w:pPr>
      <w:r>
        <w:rPr>
          <w:b/>
          <w:bCs/>
        </w:rPr>
        <w:t>2.</w:t>
      </w:r>
      <w:r>
        <w:rPr>
          <w:rFonts w:hint="eastAsia" w:ascii="仿宋_GB2312" w:eastAsia="仿宋_GB2312" w:cs="仿宋_GB2312"/>
          <w:b/>
          <w:bCs/>
        </w:rPr>
        <w:t>家庭收入证明材料：</w:t>
      </w:r>
      <w:r>
        <w:rPr>
          <w:rFonts w:hint="eastAsia" w:ascii="仿宋_GB2312" w:eastAsia="仿宋_GB2312" w:cs="仿宋_GB2312"/>
        </w:rPr>
        <w:t>包括工资性收入、经营净收入、财产净收入、转移净收入。其中，通过一卡通发放的国家各项惠农补贴资金等收入证明由苏木乡镇（街道）统一出具；</w:t>
      </w:r>
    </w:p>
    <w:p w14:paraId="6FA41846">
      <w:pPr>
        <w:pStyle w:val="2"/>
        <w:keepNext w:val="0"/>
        <w:keepLines w:val="0"/>
        <w:widowControl/>
        <w:suppressLineNumbers w:val="0"/>
        <w:spacing w:before="0" w:beforeAutospacing="0" w:after="0" w:afterAutospacing="0" w:line="570" w:lineRule="atLeast"/>
        <w:ind w:left="0" w:firstLine="640"/>
      </w:pPr>
      <w:r>
        <w:rPr>
          <w:b/>
          <w:bCs/>
        </w:rPr>
        <w:t>3.</w:t>
      </w:r>
      <w:r>
        <w:rPr>
          <w:rFonts w:hint="eastAsia" w:ascii="仿宋_GB2312" w:eastAsia="仿宋_GB2312" w:cs="仿宋_GB2312"/>
          <w:b/>
          <w:bCs/>
        </w:rPr>
        <w:t>疾病证明材料：</w:t>
      </w:r>
    </w:p>
    <w:p w14:paraId="19922522">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1</w:t>
      </w:r>
      <w:r>
        <w:rPr>
          <w:rFonts w:hint="eastAsia" w:ascii="仿宋_GB2312" w:eastAsia="仿宋_GB2312" w:cs="仿宋_GB2312"/>
        </w:rPr>
        <w:t>）重特大疾病应提供旗级（含）以上医疗机构出具的诊断证明、病历复印件首页（加盖医疗机构公章）及重特大疾病两年内、慢病当年内医药费报销单等证明材料；</w:t>
      </w:r>
    </w:p>
    <w:p w14:paraId="1928817D">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重特大疾病说明：指医治花费巨大（住院后个人自付费用在</w:t>
      </w:r>
      <w:r>
        <w:t>5000</w:t>
      </w:r>
      <w:r>
        <w:rPr>
          <w:rFonts w:hint="eastAsia" w:ascii="仿宋_GB2312" w:eastAsia="仿宋_GB2312" w:cs="仿宋_GB2312"/>
        </w:rPr>
        <w:t>元以上的）且在较长一段时间内严重影响患者及其家庭的正常工作和生活的疾病。根据《内蒙古自治区民政厅、财政厅、人力资源和社会保障厅、卫生厅、医改办印发〈关于进一步完善城乡医疗救助制度的意见〉的通知》（内民政社救〔</w:t>
      </w:r>
      <w:r>
        <w:t>2013</w:t>
      </w:r>
      <w:r>
        <w:rPr>
          <w:rFonts w:hint="eastAsia" w:ascii="仿宋_GB2312" w:eastAsia="仿宋_GB2312" w:cs="仿宋_GB2312"/>
        </w:rPr>
        <w:t>〕</w:t>
      </w:r>
      <w:r>
        <w:t>210</w:t>
      </w:r>
      <w:r>
        <w:rPr>
          <w:rFonts w:hint="eastAsia" w:ascii="仿宋_GB2312" w:eastAsia="仿宋_GB2312" w:cs="仿宋_GB2312"/>
        </w:rPr>
        <w:t>号）《内蒙古自治区民政厅、慈善总会联合印发〈关于印发</w:t>
      </w:r>
      <w:r>
        <w:t>2020</w:t>
      </w:r>
      <w:r>
        <w:rPr>
          <w:rFonts w:hint="eastAsia" w:ascii="仿宋_GB2312" w:eastAsia="仿宋_GB2312" w:cs="仿宋_GB2312"/>
        </w:rPr>
        <w:t>年内蒙古自治区重特大疾病慈善医疗救助实施方案〉的通知》（内民政发〔</w:t>
      </w:r>
      <w:r>
        <w:t>2020</w:t>
      </w:r>
      <w:r>
        <w:rPr>
          <w:rFonts w:hint="eastAsia" w:ascii="仿宋_GB2312" w:eastAsia="仿宋_GB2312" w:cs="仿宋_GB2312"/>
        </w:rPr>
        <w:t>〕</w:t>
      </w:r>
      <w:r>
        <w:t>92</w:t>
      </w:r>
      <w:r>
        <w:rPr>
          <w:rFonts w:hint="eastAsia" w:ascii="仿宋_GB2312" w:eastAsia="仿宋_GB2312" w:cs="仿宋_GB2312"/>
        </w:rPr>
        <w:t>号）和《赤峰市卫生健康委员会、乡村振兴局、医疗保障局联合印发〈关于印发赤峰市大病集中救助技术推广工作方案〉的通知》（赤卫字〔</w:t>
      </w:r>
      <w:r>
        <w:t>2022</w:t>
      </w:r>
      <w:r>
        <w:rPr>
          <w:rFonts w:hint="eastAsia" w:ascii="仿宋_GB2312" w:eastAsia="仿宋_GB2312" w:cs="仿宋_GB2312"/>
        </w:rPr>
        <w:t>〕</w:t>
      </w:r>
      <w:r>
        <w:t>77</w:t>
      </w:r>
      <w:r>
        <w:rPr>
          <w:rFonts w:hint="eastAsia" w:ascii="仿宋_GB2312" w:eastAsia="仿宋_GB2312" w:cs="仿宋_GB2312"/>
        </w:rPr>
        <w:t>号）等文件，认定的重特大疾病病种有：儿童先天性心脏病、儿童白血病、胃癌、食道癌、结肠癌、直肠癌、终末期肾病（尿毒症）、肺癌、肝癌、乳腺癌、宫颈癌、急性心肌梗死、肾病综合症、尘肺、神经母细胞瘤、儿童淋巴瘤、骨肉瘤、血友病、地中海贫血、尿道下裂症、耐多药结核病、脑卒中（脑梗死、脑出血后遗症）、慢性阻塞性肺气肿、艾滋病机会感染、膀胱癌、卵巢癌、肾癌、重型精神疾病、风湿性心脏病、布鲁氏杆菌病、胃肠道间质瘤、多发性硬化症（中枢神经系统脱髓鞘疾病）、肺动脉高压（肺血管疾病）、胰腺癌、脑瘫、脑瘤、脑梗死、</w:t>
      </w:r>
      <w:r>
        <w:t>I</w:t>
      </w:r>
      <w:r>
        <w:rPr>
          <w:rFonts w:hint="eastAsia" w:ascii="仿宋_GB2312" w:eastAsia="仿宋_GB2312" w:cs="仿宋_GB2312"/>
        </w:rPr>
        <w:t>型糖尿病、甲亢、儿童苯丙酮尿症、产科急危重症抢救、帕金森氏综合征、肝硬化失代偿期（肝硬化）、癫痫（麻风）、脑出血后遗症、重型再生障碍性贫血、红皮病型银屑病、严重运动神经元病、阿尔茨海默病、脊髓灰质炎（瘫痪型）、重症肌无力、重大器官移植术、血小板减少性紫癜、系统性红斑狼疮等</w:t>
      </w:r>
      <w:r>
        <w:t>52</w:t>
      </w:r>
      <w:r>
        <w:rPr>
          <w:rFonts w:hint="eastAsia" w:ascii="仿宋_GB2312" w:eastAsia="仿宋_GB2312" w:cs="仿宋_GB2312"/>
        </w:rPr>
        <w:t>种疾病及其他各种恶性肿瘤。</w:t>
      </w:r>
    </w:p>
    <w:p w14:paraId="49CE3481">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2</w:t>
      </w:r>
      <w:r>
        <w:rPr>
          <w:rFonts w:hint="eastAsia" w:ascii="仿宋_GB2312" w:eastAsia="仿宋_GB2312" w:cs="仿宋_GB2312"/>
        </w:rPr>
        <w:t>）慢病应提供的证明材料（以下任一方式）：已在定点医疗机构或医保部门办理门诊慢性病备案的人员，应提供《门诊慢性病病种待遇认定表》（每年动态复核一次，需重新提供认定表）；</w:t>
      </w:r>
    </w:p>
    <w:p w14:paraId="4A1C7EFB">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门诊慢病病种说明：根据《关于调整基本医疗保险门诊慢性病政策的通知》（赤医保办发〔</w:t>
      </w:r>
      <w:r>
        <w:t>2023</w:t>
      </w:r>
      <w:r>
        <w:rPr>
          <w:rFonts w:hint="eastAsia" w:ascii="仿宋_GB2312" w:eastAsia="仿宋_GB2312" w:cs="仿宋_GB2312"/>
        </w:rPr>
        <w:t>〕</w:t>
      </w:r>
      <w:r>
        <w:t>65</w:t>
      </w:r>
      <w:r>
        <w:rPr>
          <w:rFonts w:hint="eastAsia" w:ascii="仿宋_GB2312" w:eastAsia="仿宋_GB2312" w:cs="仿宋_GB2312"/>
        </w:rPr>
        <w:t>号）等文件，门诊特殊疾病包括：结核、恶性肿瘤放化疗、器官移植术后抗排异治疗、经备案在异地医院门诊进行的放疗和血液透析治疗、强直性脊柱炎、类风湿性关节炎、子宫内膜癌内分泌治疗、前列腺癌内分治疗、乳腺癌内分泌治疗、病毒性肝炎、血液透析、腹膜透析。门诊慢性疾病包括：血管支架植入术后抗凝血治疗、干燥综合征、硬皮病、股骨头坏死、癫痫病、慢性阻塞性肺病、肺心病、慢性肾功能衰竭、精神类疾病、普通结核、大骨节病、恶性肿瘤门诊治疗。</w:t>
      </w:r>
    </w:p>
    <w:p w14:paraId="305B08B9">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对于患慢病已住院被确诊为门诊慢性病，但未办理门诊慢性病备案的人员，应提供病历复印件（加盖医疗机构公章）、诊断证明及医药费报销单（因吸毒、车祸等原因除外）；</w:t>
      </w:r>
    </w:p>
    <w:p w14:paraId="1C52C327">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对于患门诊慢性病但未住院治疗的，应提供由旗级及以上医疗机构当年诊断证明；</w:t>
      </w:r>
    </w:p>
    <w:p w14:paraId="7A3A5974">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3</w:t>
      </w:r>
      <w:r>
        <w:rPr>
          <w:rFonts w:hint="eastAsia" w:ascii="仿宋_GB2312" w:eastAsia="仿宋_GB2312" w:cs="仿宋_GB2312"/>
        </w:rPr>
        <w:t>）个人住院累计自付部分医药费应扣除医疗救助及其他部门再次报销、救助的金额；</w:t>
      </w:r>
    </w:p>
    <w:p w14:paraId="2DA243DB">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4</w:t>
      </w:r>
      <w:r>
        <w:rPr>
          <w:rFonts w:hint="eastAsia" w:ascii="仿宋_GB2312" w:eastAsia="仿宋_GB2312" w:cs="仿宋_GB2312"/>
        </w:rPr>
        <w:t>）因特殊原因未报销医药费的，应提供旗级及以上医疗机构出具的诊断证明、住院治疗病历复印件（加盖医疗机构公章）及医药费原件，按医药费总额的</w:t>
      </w:r>
      <w:r>
        <w:t>30%</w:t>
      </w:r>
      <w:r>
        <w:rPr>
          <w:rFonts w:hint="eastAsia" w:ascii="仿宋_GB2312" w:eastAsia="仿宋_GB2312" w:cs="仿宋_GB2312"/>
        </w:rPr>
        <w:t>作为家庭扣减数额；</w:t>
      </w:r>
    </w:p>
    <w:p w14:paraId="7F90F36D">
      <w:pPr>
        <w:pStyle w:val="2"/>
        <w:keepNext w:val="0"/>
        <w:keepLines w:val="0"/>
        <w:widowControl/>
        <w:suppressLineNumbers w:val="0"/>
        <w:spacing w:before="0" w:beforeAutospacing="0" w:after="0" w:afterAutospacing="0" w:line="570" w:lineRule="atLeast"/>
        <w:ind w:left="0" w:firstLine="640"/>
      </w:pPr>
      <w:r>
        <w:rPr>
          <w:b/>
          <w:bCs/>
        </w:rPr>
        <w:t>4.</w:t>
      </w:r>
      <w:r>
        <w:rPr>
          <w:rFonts w:hint="eastAsia" w:ascii="仿宋_GB2312" w:eastAsia="仿宋_GB2312" w:cs="仿宋_GB2312"/>
          <w:b/>
          <w:bCs/>
        </w:rPr>
        <w:t>残疾证明材料：</w:t>
      </w:r>
      <w:r>
        <w:rPr>
          <w:rFonts w:hint="eastAsia" w:ascii="仿宋_GB2312" w:eastAsia="仿宋_GB2312" w:cs="仿宋_GB2312"/>
        </w:rPr>
        <w:t>应提供残联部门核发的最新版《中华人民共和国残疾人证》；</w:t>
      </w:r>
    </w:p>
    <w:p w14:paraId="365B8AD8">
      <w:pPr>
        <w:pStyle w:val="2"/>
        <w:keepNext w:val="0"/>
        <w:keepLines w:val="0"/>
        <w:widowControl/>
        <w:suppressLineNumbers w:val="0"/>
        <w:spacing w:before="0" w:beforeAutospacing="0" w:after="0" w:afterAutospacing="0" w:line="570" w:lineRule="atLeast"/>
        <w:ind w:left="0" w:firstLine="640"/>
      </w:pPr>
      <w:r>
        <w:rPr>
          <w:b/>
          <w:bCs/>
        </w:rPr>
        <w:t>5.</w:t>
      </w:r>
      <w:r>
        <w:rPr>
          <w:rFonts w:hint="eastAsia" w:ascii="仿宋_GB2312" w:eastAsia="仿宋_GB2312" w:cs="仿宋_GB2312"/>
          <w:b/>
          <w:bCs/>
        </w:rPr>
        <w:t>扣减证明材料：</w:t>
      </w:r>
      <w:r>
        <w:rPr>
          <w:rFonts w:hint="eastAsia" w:ascii="仿宋_GB2312" w:eastAsia="仿宋_GB2312" w:cs="仿宋_GB2312"/>
        </w:rPr>
        <w:t>同一家庭有</w:t>
      </w:r>
      <w:r>
        <w:t>2</w:t>
      </w:r>
      <w:r>
        <w:rPr>
          <w:rFonts w:hint="eastAsia" w:ascii="仿宋_GB2312" w:eastAsia="仿宋_GB2312" w:cs="仿宋_GB2312"/>
        </w:rPr>
        <w:t>个及以上在读大学生的，符合刚性支出扣减的，应提供学生在校证明材料；</w:t>
      </w:r>
    </w:p>
    <w:p w14:paraId="204F407D">
      <w:pPr>
        <w:pStyle w:val="2"/>
        <w:keepNext w:val="0"/>
        <w:keepLines w:val="0"/>
        <w:widowControl/>
        <w:suppressLineNumbers w:val="0"/>
        <w:spacing w:before="0" w:beforeAutospacing="0" w:after="0" w:afterAutospacing="0" w:line="570" w:lineRule="atLeast"/>
        <w:ind w:left="0" w:firstLine="640"/>
      </w:pPr>
      <w:r>
        <w:rPr>
          <w:b/>
          <w:bCs/>
        </w:rPr>
        <w:t>6.</w:t>
      </w:r>
      <w:r>
        <w:rPr>
          <w:rFonts w:hint="eastAsia" w:ascii="仿宋_GB2312" w:eastAsia="仿宋_GB2312" w:cs="仿宋_GB2312"/>
          <w:b/>
          <w:bCs/>
        </w:rPr>
        <w:t>其他应提供的材料。</w:t>
      </w:r>
    </w:p>
    <w:p w14:paraId="7D18649F">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未在户籍申请地长期居住的家庭，应提供长期居住地苏木乡镇街道人民政府（管理办）、大兴农场、嘎查村（居）民委员会证明（包括家庭生活状况、住房情况、联系方式等）；苏木乡镇街道人民政府（管理办）、大兴农场应当一次性告知申请人或者其代理人所需提供的资料并对申请人或其代理人提交的材料进行审查，材料齐备的，予以受理；材料不齐备的，应当发放补正告知书告知申请人或者其代理人补齐所有规定材料。全面推行社会救助申请证明事项告知承诺制，可以通过蒙速办、国家企业信用信息公示系统等国家或地方政务服务平台查询获取的相关材料，不再要求重复提交。</w:t>
      </w:r>
    </w:p>
    <w:p w14:paraId="7E68765C">
      <w:pPr>
        <w:pStyle w:val="2"/>
        <w:keepNext w:val="0"/>
        <w:keepLines w:val="0"/>
        <w:widowControl/>
        <w:suppressLineNumbers w:val="0"/>
        <w:spacing w:before="0" w:beforeAutospacing="0" w:after="0" w:afterAutospacing="0" w:line="570" w:lineRule="atLeast"/>
        <w:ind w:left="0" w:firstLine="640"/>
      </w:pPr>
      <w:r>
        <w:rPr>
          <w:rFonts w:hint="eastAsia" w:ascii="楷体_GB2312" w:eastAsia="楷体_GB2312" w:cs="楷体_GB2312"/>
          <w:b/>
          <w:bCs/>
        </w:rPr>
        <w:t>（四）有下列情形之一的不予认定</w:t>
      </w:r>
    </w:p>
    <w:p w14:paraId="32F845C2">
      <w:pPr>
        <w:pStyle w:val="2"/>
        <w:keepNext w:val="0"/>
        <w:keepLines w:val="0"/>
        <w:widowControl/>
        <w:suppressLineNumbers w:val="0"/>
        <w:spacing w:before="0" w:beforeAutospacing="0" w:after="0" w:afterAutospacing="0" w:line="570" w:lineRule="atLeast"/>
        <w:ind w:left="0" w:firstLine="640"/>
      </w:pPr>
      <w:r>
        <w:t>1.</w:t>
      </w:r>
      <w:r>
        <w:rPr>
          <w:rFonts w:hint="eastAsia" w:ascii="仿宋_GB2312" w:eastAsia="仿宋_GB2312" w:cs="仿宋_GB2312"/>
        </w:rPr>
        <w:t>已享受特困人员救助供养、孤儿救助政策及“三民”待遇的；</w:t>
      </w:r>
    </w:p>
    <w:p w14:paraId="1EBA2A17">
      <w:pPr>
        <w:pStyle w:val="2"/>
        <w:keepNext w:val="0"/>
        <w:keepLines w:val="0"/>
        <w:widowControl/>
        <w:suppressLineNumbers w:val="0"/>
        <w:spacing w:before="0" w:beforeAutospacing="0" w:after="0" w:afterAutospacing="0" w:line="570" w:lineRule="atLeast"/>
        <w:ind w:left="0" w:firstLine="640"/>
      </w:pPr>
      <w:r>
        <w:t>2.</w:t>
      </w:r>
      <w:r>
        <w:rPr>
          <w:rFonts w:hint="eastAsia" w:ascii="仿宋_GB2312" w:eastAsia="仿宋_GB2312" w:cs="仿宋_GB2312"/>
        </w:rPr>
        <w:t>家庭成员人均收入超出本地区当年最低生活保障标准的；</w:t>
      </w:r>
    </w:p>
    <w:p w14:paraId="5B7307FA">
      <w:pPr>
        <w:pStyle w:val="2"/>
        <w:keepNext w:val="0"/>
        <w:keepLines w:val="0"/>
        <w:widowControl/>
        <w:suppressLineNumbers w:val="0"/>
        <w:spacing w:before="0" w:beforeAutospacing="0" w:after="0" w:afterAutospacing="0" w:line="570" w:lineRule="atLeast"/>
        <w:ind w:left="0" w:firstLine="640"/>
      </w:pPr>
      <w:r>
        <w:t>3.</w:t>
      </w:r>
      <w:r>
        <w:rPr>
          <w:rFonts w:hint="eastAsia" w:ascii="仿宋_GB2312" w:eastAsia="仿宋_GB2312" w:cs="仿宋_GB2312"/>
        </w:rPr>
        <w:t>未按规定提出书面申请，不提供有关证件、证明，或证件、证明提供不齐全的；</w:t>
      </w:r>
    </w:p>
    <w:p w14:paraId="6D1E0E4D">
      <w:pPr>
        <w:pStyle w:val="2"/>
        <w:keepNext w:val="0"/>
        <w:keepLines w:val="0"/>
        <w:widowControl/>
        <w:suppressLineNumbers w:val="0"/>
        <w:spacing w:before="0" w:beforeAutospacing="0" w:after="0" w:afterAutospacing="0" w:line="570" w:lineRule="atLeast"/>
        <w:ind w:left="0" w:firstLine="640"/>
      </w:pPr>
      <w:r>
        <w:t>4.</w:t>
      </w:r>
      <w:r>
        <w:rPr>
          <w:rFonts w:hint="eastAsia" w:ascii="仿宋_GB2312" w:eastAsia="仿宋_GB2312" w:cs="仿宋_GB2312"/>
        </w:rPr>
        <w:t>对家庭经济状况调查不配合、不委托授权的；隐瞒家庭真实收入、财产和子女情况、提供虚假证明的；</w:t>
      </w:r>
    </w:p>
    <w:p w14:paraId="0D00C4C3">
      <w:pPr>
        <w:pStyle w:val="2"/>
        <w:keepNext w:val="0"/>
        <w:keepLines w:val="0"/>
        <w:widowControl/>
        <w:suppressLineNumbers w:val="0"/>
        <w:spacing w:before="0" w:beforeAutospacing="0" w:after="0" w:afterAutospacing="0" w:line="570" w:lineRule="atLeast"/>
        <w:ind w:left="0" w:firstLine="640"/>
      </w:pPr>
      <w:r>
        <w:t>5.</w:t>
      </w:r>
      <w:r>
        <w:rPr>
          <w:rFonts w:hint="eastAsia" w:ascii="仿宋_GB2312" w:eastAsia="仿宋_GB2312" w:cs="仿宋_GB2312"/>
        </w:rPr>
        <w:t>采取变卖房屋、隐匿财产或人为分户等规避法律、法规的行为造成无经济来源、生活困难假象的；</w:t>
      </w:r>
    </w:p>
    <w:p w14:paraId="5199BDED">
      <w:pPr>
        <w:pStyle w:val="2"/>
        <w:keepNext w:val="0"/>
        <w:keepLines w:val="0"/>
        <w:widowControl/>
        <w:suppressLineNumbers w:val="0"/>
        <w:spacing w:before="0" w:beforeAutospacing="0" w:after="0" w:afterAutospacing="0" w:line="570" w:lineRule="atLeast"/>
        <w:ind w:left="0" w:firstLine="640"/>
      </w:pPr>
      <w:r>
        <w:t>6.</w:t>
      </w:r>
      <w:r>
        <w:rPr>
          <w:rFonts w:hint="eastAsia" w:ascii="仿宋_GB2312" w:eastAsia="仿宋_GB2312" w:cs="仿宋_GB2312"/>
        </w:rPr>
        <w:t>通过离婚、赠予、转让等方式放弃自己应得财产或份额；放弃法定应得赡（抚、扶）养费和其他合法资产及收入的家庭或个人；</w:t>
      </w:r>
    </w:p>
    <w:p w14:paraId="77FE589A">
      <w:pPr>
        <w:pStyle w:val="2"/>
        <w:keepNext w:val="0"/>
        <w:keepLines w:val="0"/>
        <w:widowControl/>
        <w:suppressLineNumbers w:val="0"/>
        <w:spacing w:before="0" w:beforeAutospacing="0" w:after="0" w:afterAutospacing="0" w:line="570" w:lineRule="atLeast"/>
        <w:ind w:left="0" w:firstLine="640"/>
      </w:pPr>
      <w:r>
        <w:t>7.</w:t>
      </w:r>
      <w:r>
        <w:rPr>
          <w:rFonts w:hint="eastAsia" w:ascii="仿宋_GB2312" w:eastAsia="仿宋_GB2312" w:cs="仿宋_GB2312"/>
        </w:rPr>
        <w:t>因赌博、吸毒、嫖娼等违法行为造成生活困难尚未改正的；在银行有不良信用或被公示为老赖的或因其他违法行为正处于劳教、服刑、强制戒毒期间的；</w:t>
      </w:r>
    </w:p>
    <w:p w14:paraId="147B1885">
      <w:pPr>
        <w:pStyle w:val="2"/>
        <w:keepNext w:val="0"/>
        <w:keepLines w:val="0"/>
        <w:widowControl/>
        <w:suppressLineNumbers w:val="0"/>
        <w:spacing w:before="0" w:beforeAutospacing="0" w:after="0" w:afterAutospacing="0" w:line="570" w:lineRule="atLeast"/>
        <w:ind w:left="0" w:firstLine="640"/>
      </w:pPr>
      <w:r>
        <w:t>8.</w:t>
      </w:r>
      <w:r>
        <w:rPr>
          <w:rFonts w:hint="eastAsia" w:ascii="仿宋_GB2312" w:eastAsia="仿宋_GB2312" w:cs="仿宋_GB2312"/>
        </w:rPr>
        <w:t>有正常劳动能力（男</w:t>
      </w:r>
      <w:r>
        <w:t>18</w:t>
      </w:r>
      <w:r>
        <w:rPr>
          <w:rFonts w:hint="eastAsia" w:ascii="仿宋_GB2312" w:eastAsia="仿宋_GB2312" w:cs="仿宋_GB2312"/>
        </w:rPr>
        <w:t>周岁至</w:t>
      </w:r>
      <w:r>
        <w:t>55</w:t>
      </w:r>
      <w:r>
        <w:rPr>
          <w:rFonts w:hint="eastAsia" w:ascii="仿宋_GB2312" w:eastAsia="仿宋_GB2312" w:cs="仿宋_GB2312"/>
        </w:rPr>
        <w:t>周岁，女</w:t>
      </w:r>
      <w:r>
        <w:t>18</w:t>
      </w:r>
      <w:r>
        <w:rPr>
          <w:rFonts w:hint="eastAsia" w:ascii="仿宋_GB2312" w:eastAsia="仿宋_GB2312" w:cs="仿宋_GB2312"/>
        </w:rPr>
        <w:t>周岁至</w:t>
      </w:r>
      <w:r>
        <w:t>50</w:t>
      </w:r>
      <w:r>
        <w:rPr>
          <w:rFonts w:hint="eastAsia" w:ascii="仿宋_GB2312" w:eastAsia="仿宋_GB2312" w:cs="仿宋_GB2312"/>
        </w:rPr>
        <w:t>周岁）的人员（有扣减的除外）；</w:t>
      </w:r>
    </w:p>
    <w:p w14:paraId="1655A31D">
      <w:pPr>
        <w:pStyle w:val="2"/>
        <w:keepNext w:val="0"/>
        <w:keepLines w:val="0"/>
        <w:widowControl/>
        <w:suppressLineNumbers w:val="0"/>
        <w:spacing w:before="0" w:beforeAutospacing="0" w:after="0" w:afterAutospacing="0" w:line="570" w:lineRule="atLeast"/>
        <w:ind w:left="0" w:firstLine="640"/>
      </w:pPr>
      <w:r>
        <w:t>9.</w:t>
      </w:r>
      <w:r>
        <w:rPr>
          <w:rFonts w:hint="eastAsia" w:ascii="仿宋_GB2312" w:eastAsia="仿宋_GB2312" w:cs="仿宋_GB2312"/>
        </w:rPr>
        <w:t>政策规定其他不能享受低保救助的情形。</w:t>
      </w:r>
    </w:p>
    <w:p w14:paraId="66BABAD2">
      <w:pPr>
        <w:pStyle w:val="2"/>
        <w:keepNext w:val="0"/>
        <w:keepLines w:val="0"/>
        <w:widowControl/>
        <w:suppressLineNumbers w:val="0"/>
        <w:spacing w:before="0" w:beforeAutospacing="0" w:after="0" w:afterAutospacing="0" w:line="570" w:lineRule="atLeast"/>
        <w:ind w:left="0" w:firstLine="640"/>
      </w:pPr>
      <w:r>
        <w:rPr>
          <w:rFonts w:hint="eastAsia" w:ascii="楷体_GB2312" w:eastAsia="楷体_GB2312" w:cs="楷体_GB2312"/>
          <w:b/>
          <w:bCs/>
        </w:rPr>
        <w:t>（五）告知承诺</w:t>
      </w:r>
    </w:p>
    <w:p w14:paraId="4CF16EC7">
      <w:pPr>
        <w:pStyle w:val="2"/>
        <w:keepNext w:val="0"/>
        <w:keepLines w:val="0"/>
        <w:widowControl/>
        <w:suppressLineNumbers w:val="0"/>
        <w:spacing w:before="0" w:beforeAutospacing="0" w:after="0" w:afterAutospacing="0" w:line="570" w:lineRule="atLeast"/>
        <w:ind w:left="0" w:firstLine="640"/>
      </w:pPr>
      <w:r>
        <w:t>1.</w:t>
      </w:r>
      <w:r>
        <w:rPr>
          <w:rFonts w:hint="eastAsia" w:ascii="仿宋_GB2312" w:eastAsia="仿宋_GB2312" w:cs="仿宋_GB2312"/>
        </w:rPr>
        <w:t>申请最低生活保障需签署《家庭经济状况核查授权委托书》和《如实申报承诺书》；</w:t>
      </w:r>
    </w:p>
    <w:p w14:paraId="01AED49F">
      <w:pPr>
        <w:pStyle w:val="2"/>
        <w:keepNext w:val="0"/>
        <w:keepLines w:val="0"/>
        <w:widowControl/>
        <w:suppressLineNumbers w:val="0"/>
        <w:spacing w:before="0" w:beforeAutospacing="0" w:after="0" w:afterAutospacing="0" w:line="570" w:lineRule="atLeast"/>
        <w:ind w:left="0" w:firstLine="640"/>
      </w:pPr>
      <w:r>
        <w:t>2.</w:t>
      </w:r>
      <w:r>
        <w:rPr>
          <w:rFonts w:hint="eastAsia" w:ascii="仿宋_GB2312" w:eastAsia="仿宋_GB2312" w:cs="仿宋_GB2312"/>
        </w:rPr>
        <w:t>申请人与最低生活保障经办人员或嘎查村（居）民委员会成员、社会救助协理员有近亲属关系的，应当如实申明。对已受理的最低生活保障经办人员或嘎查村（居）民委员会成员近亲属的最低生活保障申请，苏木乡镇街道人民政府（管理办）、大兴农场应当进行备案；</w:t>
      </w:r>
    </w:p>
    <w:p w14:paraId="50863F1C">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“最低生活保障经办人员”是指涉及具体办理和分管最低生活保障受理、审核（包括家庭经济状况核查）、确认等事项的旗民政部门及苏木乡镇街道人民政府（管理办）、大兴农场工作人员。</w:t>
      </w:r>
    </w:p>
    <w:p w14:paraId="42858451">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“近亲属”包括配偶、父母、子女、兄弟姐妹、祖父母、外祖父母、孙子女、外孙子女。</w:t>
      </w:r>
    </w:p>
    <w:p w14:paraId="1BD52C0F">
      <w:pPr>
        <w:pStyle w:val="2"/>
        <w:keepNext w:val="0"/>
        <w:keepLines w:val="0"/>
        <w:widowControl/>
        <w:suppressLineNumbers w:val="0"/>
        <w:spacing w:before="0" w:beforeAutospacing="0" w:after="0" w:afterAutospacing="0" w:line="570" w:lineRule="atLeast"/>
        <w:ind w:left="0" w:firstLine="640"/>
      </w:pPr>
      <w:r>
        <w:rPr>
          <w:rFonts w:hint="eastAsia" w:ascii="黑体" w:hAnsi="宋体" w:eastAsia="黑体" w:cs="黑体"/>
        </w:rPr>
        <w:t>五、家庭经济状况调查及核算</w:t>
      </w:r>
    </w:p>
    <w:p w14:paraId="01C5DD2D">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家庭经济状况指共同生活家庭成员拥有的全部家庭收入和家庭财产。</w:t>
      </w:r>
    </w:p>
    <w:p w14:paraId="1F35B8E9">
      <w:pPr>
        <w:pStyle w:val="2"/>
        <w:keepNext w:val="0"/>
        <w:keepLines w:val="0"/>
        <w:widowControl/>
        <w:suppressLineNumbers w:val="0"/>
        <w:spacing w:before="0" w:beforeAutospacing="0" w:after="0" w:afterAutospacing="0" w:line="570" w:lineRule="atLeast"/>
        <w:ind w:left="0" w:firstLine="640"/>
      </w:pPr>
      <w:r>
        <w:rPr>
          <w:rFonts w:hint="eastAsia" w:ascii="楷体_GB2312" w:eastAsia="楷体_GB2312" w:cs="楷体_GB2312"/>
          <w:b/>
          <w:bCs/>
        </w:rPr>
        <w:t>（一）家庭收入</w:t>
      </w:r>
    </w:p>
    <w:p w14:paraId="637A6AA3">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家庭收入指共同生活的家庭成员在规定期限内获得的全部现金及实物收入，主要包括工资性收入、经营净收入、财产净收入、转移净收入四个方面。在核算家庭收入时，凡能核实其真实收入的，均以实际金额为准；难以核实的人员采用劳动力系数法综合测算家庭收入。</w:t>
      </w:r>
    </w:p>
    <w:p w14:paraId="26654F43">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个人劳动力系数依据年龄、残疾程度、重病、慢病等综合因素确定（劳动力系数测算参考标准及代码表附后）。</w:t>
      </w:r>
    </w:p>
    <w:p w14:paraId="4741DC2B">
      <w:pPr>
        <w:pStyle w:val="2"/>
        <w:keepNext w:val="0"/>
        <w:keepLines w:val="0"/>
        <w:widowControl/>
        <w:suppressLineNumbers w:val="0"/>
        <w:spacing w:before="0" w:beforeAutospacing="0" w:after="0" w:afterAutospacing="0" w:line="570" w:lineRule="atLeast"/>
        <w:ind w:left="0" w:firstLine="640"/>
      </w:pPr>
      <w:r>
        <w:rPr>
          <w:b/>
          <w:bCs/>
        </w:rPr>
        <w:t>1.</w:t>
      </w:r>
      <w:r>
        <w:rPr>
          <w:rFonts w:hint="eastAsia" w:ascii="仿宋_GB2312" w:eastAsia="仿宋_GB2312" w:cs="仿宋_GB2312"/>
          <w:b/>
          <w:bCs/>
        </w:rPr>
        <w:t>一般家庭收入核算</w:t>
      </w:r>
    </w:p>
    <w:p w14:paraId="218A47AD">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1</w:t>
      </w:r>
      <w:r>
        <w:rPr>
          <w:rFonts w:hint="eastAsia" w:ascii="仿宋_GB2312" w:eastAsia="仿宋_GB2312" w:cs="仿宋_GB2312"/>
        </w:rPr>
        <w:t>）工资性收入</w:t>
      </w:r>
    </w:p>
    <w:p w14:paraId="11EDEE0E">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工资性收入指就业人员通过各种途径得到的全部劳动报酬和各种福利并扣除必要的就业成本，包括因任职或者受雇而取得的工资、薪金、奖金、劳动分红、津贴、补贴以及与任职或者受雇有关的其他所得等。</w:t>
      </w:r>
    </w:p>
    <w:p w14:paraId="173C19C1">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个人年收入＝个人劳动力系数×上一年度务工地最低工资标准×</w:t>
      </w:r>
      <w:r>
        <w:t>7</w:t>
      </w:r>
      <w:r>
        <w:rPr>
          <w:rFonts w:hint="eastAsia" w:ascii="仿宋_GB2312" w:eastAsia="仿宋_GB2312" w:cs="仿宋_GB2312"/>
        </w:rPr>
        <w:t>个月。</w:t>
      </w:r>
    </w:p>
    <w:p w14:paraId="6D48C394">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最低工资标准按各省、自治区、直辖市公布的最新数据为准，难以确定务工地区的，以常住地最低工资标准计算。</w:t>
      </w:r>
    </w:p>
    <w:p w14:paraId="2935B780">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2</w:t>
      </w:r>
      <w:r>
        <w:rPr>
          <w:rFonts w:hint="eastAsia" w:ascii="仿宋_GB2312" w:eastAsia="仿宋_GB2312" w:cs="仿宋_GB2312"/>
        </w:rPr>
        <w:t>）经营净收入</w:t>
      </w:r>
    </w:p>
    <w:p w14:paraId="33085898">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经营净收入指从事生产经营及有偿服务活动所获得全部经营收入扣除经营费用、生产性固定资产折旧和生产税之后得到的收入。包括从事种植、养殖、采集及加工等农林牧渔业的生产收入，从事工业、建筑业、手工业、交通运输业、批发和零售贸易业、餐饮业、文教卫生业和社会服务业等经营及有偿服务活动的收入等。</w:t>
      </w:r>
    </w:p>
    <w:p w14:paraId="0E00C2E2">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①从事农业生产经营个人年收入＝个人劳动力系数×上一年度本地区农牧民人均可支配收入×</w:t>
      </w:r>
      <w:r>
        <w:t>60%</w:t>
      </w:r>
    </w:p>
    <w:p w14:paraId="20C4E106">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农牧民人均可支配收入以旗统计部门公布的数据为准。</w:t>
      </w:r>
    </w:p>
    <w:p w14:paraId="079FEE3F">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②从事养殖业年收入＝每头（只）牲畜、家禽年收入核算标准×现有数量。</w:t>
      </w:r>
    </w:p>
    <w:p w14:paraId="7025A0CA">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根据牲畜出栏率，扣除养殖中各项投入后，核定每头（只）平均标准：马、骡、驴、牛</w:t>
      </w:r>
      <w:r>
        <w:t>1000</w:t>
      </w:r>
      <w:r>
        <w:rPr>
          <w:rFonts w:hint="eastAsia" w:ascii="仿宋_GB2312" w:eastAsia="仿宋_GB2312" w:cs="仿宋_GB2312"/>
        </w:rPr>
        <w:t>元，羊</w:t>
      </w:r>
      <w:r>
        <w:t>200</w:t>
      </w:r>
      <w:r>
        <w:rPr>
          <w:rFonts w:hint="eastAsia" w:ascii="仿宋_GB2312" w:eastAsia="仿宋_GB2312" w:cs="仿宋_GB2312"/>
        </w:rPr>
        <w:t>元，猪</w:t>
      </w:r>
      <w:r>
        <w:t>500</w:t>
      </w:r>
      <w:r>
        <w:rPr>
          <w:rFonts w:hint="eastAsia" w:ascii="仿宋_GB2312" w:eastAsia="仿宋_GB2312" w:cs="仿宋_GB2312"/>
        </w:rPr>
        <w:t>元，鸡、鸭、鹅</w:t>
      </w:r>
      <w:r>
        <w:t>30</w:t>
      </w:r>
      <w:r>
        <w:rPr>
          <w:rFonts w:hint="eastAsia" w:ascii="仿宋_GB2312" w:eastAsia="仿宋_GB2312" w:cs="仿宋_GB2312"/>
        </w:rPr>
        <w:t>元。</w:t>
      </w:r>
    </w:p>
    <w:p w14:paraId="5A665481">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农区：马、骡、驴、牛累计</w:t>
      </w:r>
      <w:r>
        <w:t>3</w:t>
      </w:r>
      <w:r>
        <w:rPr>
          <w:rFonts w:hint="eastAsia" w:ascii="仿宋_GB2312" w:eastAsia="仿宋_GB2312" w:cs="仿宋_GB2312"/>
        </w:rPr>
        <w:t>头；猪</w:t>
      </w:r>
      <w:r>
        <w:t>5</w:t>
      </w:r>
      <w:r>
        <w:rPr>
          <w:rFonts w:hint="eastAsia" w:ascii="仿宋_GB2312" w:eastAsia="仿宋_GB2312" w:cs="仿宋_GB2312"/>
        </w:rPr>
        <w:t>头；羊</w:t>
      </w:r>
      <w:r>
        <w:t>20</w:t>
      </w:r>
      <w:r>
        <w:rPr>
          <w:rFonts w:hint="eastAsia" w:ascii="仿宋_GB2312" w:eastAsia="仿宋_GB2312" w:cs="仿宋_GB2312"/>
        </w:rPr>
        <w:t>只；鸡、鸭、鹅累计</w:t>
      </w:r>
      <w:r>
        <w:t>50</w:t>
      </w:r>
      <w:r>
        <w:rPr>
          <w:rFonts w:hint="eastAsia" w:ascii="仿宋_GB2312" w:eastAsia="仿宋_GB2312" w:cs="仿宋_GB2312"/>
        </w:rPr>
        <w:t>只起算。</w:t>
      </w:r>
    </w:p>
    <w:p w14:paraId="2C3F501F">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牧区：马、骡、驴、牛累计</w:t>
      </w:r>
      <w:r>
        <w:t>8</w:t>
      </w:r>
      <w:r>
        <w:rPr>
          <w:rFonts w:hint="eastAsia" w:ascii="仿宋_GB2312" w:eastAsia="仿宋_GB2312" w:cs="仿宋_GB2312"/>
        </w:rPr>
        <w:t>头；猪</w:t>
      </w:r>
      <w:r>
        <w:t>5</w:t>
      </w:r>
      <w:r>
        <w:rPr>
          <w:rFonts w:hint="eastAsia" w:ascii="仿宋_GB2312" w:eastAsia="仿宋_GB2312" w:cs="仿宋_GB2312"/>
        </w:rPr>
        <w:t>头；羊</w:t>
      </w:r>
      <w:r>
        <w:t>50</w:t>
      </w:r>
      <w:r>
        <w:rPr>
          <w:rFonts w:hint="eastAsia" w:ascii="仿宋_GB2312" w:eastAsia="仿宋_GB2312" w:cs="仿宋_GB2312"/>
        </w:rPr>
        <w:t>只；鸡、鸭、鹅累计</w:t>
      </w:r>
      <w:r>
        <w:t>50</w:t>
      </w:r>
      <w:r>
        <w:rPr>
          <w:rFonts w:hint="eastAsia" w:ascii="仿宋_GB2312" w:eastAsia="仿宋_GB2312" w:cs="仿宋_GB2312"/>
        </w:rPr>
        <w:t>只起算。</w:t>
      </w:r>
    </w:p>
    <w:p w14:paraId="73CD3FC0">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3</w:t>
      </w:r>
      <w:r>
        <w:rPr>
          <w:rFonts w:hint="eastAsia" w:ascii="仿宋_GB2312" w:eastAsia="仿宋_GB2312" w:cs="仿宋_GB2312"/>
        </w:rPr>
        <w:t>）财产净收入</w:t>
      </w:r>
    </w:p>
    <w:p w14:paraId="7CE1D28F">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财产净收入指出让动产和不动产，或将动产和不动产交由其他机构、单位或个人使用并扣除相关费用之后得到的收入，包括储蓄存款利息、有价证券红利、储蓄性保险投资以及其他股息和红利等收入，集体财产收入分红和其他动产收入，以及转租承包土地经营权、出租或者出让房产以及其他不动产收入等。</w:t>
      </w:r>
    </w:p>
    <w:p w14:paraId="5453E8E3">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①土地、草牧场、房屋的出租、拆迁、征用等收入参照双方签订合同、协议认定；不能提供合同、协议的，参照当地同类资产的实际价格计算认定。</w:t>
      </w:r>
    </w:p>
    <w:p w14:paraId="245909B2">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②储蓄存款利息、有价证券红利、投资股息红利等可以按照金融机构出具的证明计算，集体财产收入分红按集体出具的分配记录计算认定。</w:t>
      </w:r>
    </w:p>
    <w:p w14:paraId="1482D084">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③知识产权收入查看其专利权、商标权、著作权的转让和使用合同；保险收益依据保险合同计算；大额彩票收益根据彩票发行管理中心数据计入收入。</w:t>
      </w:r>
    </w:p>
    <w:p w14:paraId="0F14BA91">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4</w:t>
      </w:r>
      <w:r>
        <w:rPr>
          <w:rFonts w:hint="eastAsia" w:ascii="仿宋_GB2312" w:eastAsia="仿宋_GB2312" w:cs="仿宋_GB2312"/>
        </w:rPr>
        <w:t>）转移净收入</w:t>
      </w:r>
    </w:p>
    <w:p w14:paraId="301BECA8">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转移净收入指转移性收入扣减转移性支出之后的收入。其中，转移性收入指国家、机关企事业单位、社会组织对居民的各种经常性转移支付和居民之间的经常性收入转移，包括赡（扶、抚）养费、离退休金、失业保险金、遗属补助金、赔偿收入、接受捐赠（赠送）收入等；转移性支出指居民对国家、企事业单位、社会组织、居民的经常性转移支出，包括交纳的税款、各项社会保障支出、赡养支出以及其他经常性转移支出等。</w:t>
      </w:r>
    </w:p>
    <w:p w14:paraId="37601085">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①养老保险、离退休金、遗属补助金、失业保险金、国家各项惠农惠牧补贴等以实际领取数额计算。</w:t>
      </w:r>
    </w:p>
    <w:p w14:paraId="591D39B3">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②赡养费、扶养费、抚养费的核算：</w:t>
      </w:r>
    </w:p>
    <w:p w14:paraId="7A2FAF32">
      <w:pPr>
        <w:pStyle w:val="2"/>
        <w:keepNext w:val="0"/>
        <w:keepLines w:val="0"/>
        <w:widowControl/>
        <w:suppressLineNumbers w:val="0"/>
        <w:spacing w:before="0" w:beforeAutospacing="0" w:after="0" w:afterAutospacing="0" w:line="570" w:lineRule="atLeast"/>
        <w:ind w:left="0" w:firstLine="640"/>
      </w:pPr>
      <w:r>
        <w:t>A.</w:t>
      </w:r>
      <w:r>
        <w:rPr>
          <w:rFonts w:hint="eastAsia" w:ascii="仿宋_GB2312" w:eastAsia="仿宋_GB2312" w:cs="仿宋_GB2312"/>
        </w:rPr>
        <w:t>子女居住在农村牧区，从事农业生产经营未进行畜牧养殖的，付给父母一方的年赡养费＝个人劳动力系数×上一年度本地区农牧民人均可支配收入基准数×</w:t>
      </w:r>
      <w:r>
        <w:t>5%</w:t>
      </w:r>
      <w:r>
        <w:rPr>
          <w:rFonts w:hint="eastAsia" w:ascii="仿宋_GB2312" w:eastAsia="仿宋_GB2312" w:cs="仿宋_GB2312"/>
        </w:rPr>
        <w:t>；</w:t>
      </w:r>
    </w:p>
    <w:p w14:paraId="6AD6EE16">
      <w:pPr>
        <w:pStyle w:val="2"/>
        <w:keepNext w:val="0"/>
        <w:keepLines w:val="0"/>
        <w:widowControl/>
        <w:suppressLineNumbers w:val="0"/>
        <w:spacing w:before="0" w:beforeAutospacing="0" w:after="0" w:afterAutospacing="0" w:line="570" w:lineRule="atLeast"/>
        <w:ind w:left="0" w:firstLine="640"/>
      </w:pPr>
      <w:r>
        <w:t>B.</w:t>
      </w:r>
      <w:r>
        <w:rPr>
          <w:rFonts w:hint="eastAsia" w:ascii="仿宋_GB2312" w:eastAsia="仿宋_GB2312" w:cs="仿宋_GB2312"/>
        </w:rPr>
        <w:t>子女无稳定收入在城镇务工的，付给父母一方的年赡养费＝个人劳动力系数×上一年度本地区月最低工资标准×</w:t>
      </w:r>
      <w:r>
        <w:t>10</w:t>
      </w:r>
      <w:r>
        <w:rPr>
          <w:rFonts w:hint="eastAsia" w:ascii="仿宋_GB2312" w:eastAsia="仿宋_GB2312" w:cs="仿宋_GB2312"/>
        </w:rPr>
        <w:t>个月×</w:t>
      </w:r>
      <w:r>
        <w:t>5%</w:t>
      </w:r>
      <w:r>
        <w:rPr>
          <w:rFonts w:hint="eastAsia" w:ascii="仿宋_GB2312" w:eastAsia="仿宋_GB2312" w:cs="仿宋_GB2312"/>
        </w:rPr>
        <w:t>；</w:t>
      </w:r>
    </w:p>
    <w:p w14:paraId="051B7383">
      <w:pPr>
        <w:pStyle w:val="2"/>
        <w:keepNext w:val="0"/>
        <w:keepLines w:val="0"/>
        <w:widowControl/>
        <w:suppressLineNumbers w:val="0"/>
        <w:spacing w:before="0" w:beforeAutospacing="0" w:after="0" w:afterAutospacing="0" w:line="570" w:lineRule="atLeast"/>
        <w:ind w:left="0" w:firstLine="640"/>
      </w:pPr>
      <w:r>
        <w:t>C.</w:t>
      </w:r>
      <w:r>
        <w:rPr>
          <w:rFonts w:hint="eastAsia" w:ascii="仿宋_GB2312" w:eastAsia="仿宋_GB2312" w:cs="仿宋_GB2312"/>
        </w:rPr>
        <w:t>子女从事养殖业经营的，按家庭养殖业年纯收入的</w:t>
      </w:r>
      <w:r>
        <w:t>5%</w:t>
      </w:r>
      <w:r>
        <w:rPr>
          <w:rFonts w:hint="eastAsia" w:ascii="仿宋_GB2312" w:eastAsia="仿宋_GB2312" w:cs="仿宋_GB2312"/>
        </w:rPr>
        <w:t>付给父母年赡养费；父母帮子女代养牲畜的，子女赡养费提高至</w:t>
      </w:r>
      <w:r>
        <w:t>10%</w:t>
      </w:r>
      <w:r>
        <w:rPr>
          <w:rFonts w:hint="eastAsia" w:ascii="仿宋_GB2312" w:eastAsia="仿宋_GB2312" w:cs="仿宋_GB2312"/>
        </w:rPr>
        <w:t>；</w:t>
      </w:r>
    </w:p>
    <w:p w14:paraId="6D0290C8">
      <w:pPr>
        <w:pStyle w:val="2"/>
        <w:keepNext w:val="0"/>
        <w:keepLines w:val="0"/>
        <w:widowControl/>
        <w:suppressLineNumbers w:val="0"/>
        <w:spacing w:before="0" w:beforeAutospacing="0" w:after="0" w:afterAutospacing="0" w:line="570" w:lineRule="atLeast"/>
        <w:ind w:left="0" w:firstLine="640"/>
      </w:pPr>
      <w:r>
        <w:t>D.</w:t>
      </w:r>
      <w:r>
        <w:rPr>
          <w:rFonts w:hint="eastAsia" w:ascii="仿宋_GB2312" w:eastAsia="仿宋_GB2312" w:cs="仿宋_GB2312"/>
        </w:rPr>
        <w:t>子女在农村牧区从事个体工商经营或合作社经营等市场主体活动的，付给父母一方的年赡养费＝个人劳动力系数×上一年度本地区农牧民人均可支配收入基准数×</w:t>
      </w:r>
      <w:r>
        <w:t>10%</w:t>
      </w:r>
      <w:r>
        <w:rPr>
          <w:rFonts w:hint="eastAsia" w:ascii="仿宋_GB2312" w:eastAsia="仿宋_GB2312" w:cs="仿宋_GB2312"/>
        </w:rPr>
        <w:t>；子女在城镇从事个体工商经营或合作社经营的，付给父母一方的年赡养费＝个人劳动力系数×上一年度本地区最低工资标准×</w:t>
      </w:r>
      <w:r>
        <w:t>12</w:t>
      </w:r>
      <w:r>
        <w:rPr>
          <w:rFonts w:hint="eastAsia" w:ascii="仿宋_GB2312" w:eastAsia="仿宋_GB2312" w:cs="仿宋_GB2312"/>
        </w:rPr>
        <w:t>个月×</w:t>
      </w:r>
      <w:r>
        <w:t>8%</w:t>
      </w:r>
      <w:r>
        <w:rPr>
          <w:rFonts w:hint="eastAsia" w:ascii="仿宋_GB2312" w:eastAsia="仿宋_GB2312" w:cs="仿宋_GB2312"/>
        </w:rPr>
        <w:t>；</w:t>
      </w:r>
    </w:p>
    <w:p w14:paraId="34F93B6D">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赡养人开办企业的，工商企业注册资金</w:t>
      </w:r>
      <w:r>
        <w:t>10</w:t>
      </w:r>
      <w:r>
        <w:rPr>
          <w:rFonts w:hint="eastAsia" w:ascii="仿宋_GB2312" w:eastAsia="仿宋_GB2312" w:cs="仿宋_GB2312"/>
        </w:rPr>
        <w:t>万元（含）以下的，付给被赡养（扶养、抚养）人一方的年赡养费（扶养、抚养）费按普通务工核算；工商企业注册资金</w:t>
      </w:r>
      <w:r>
        <w:t>10</w:t>
      </w:r>
      <w:r>
        <w:rPr>
          <w:rFonts w:hint="eastAsia" w:ascii="仿宋_GB2312" w:eastAsia="仿宋_GB2312" w:cs="仿宋_GB2312"/>
        </w:rPr>
        <w:t>万元</w:t>
      </w:r>
      <w:r>
        <w:t>-20</w:t>
      </w:r>
      <w:r>
        <w:rPr>
          <w:rFonts w:hint="eastAsia" w:ascii="仿宋_GB2312" w:eastAsia="仿宋_GB2312" w:cs="仿宋_GB2312"/>
        </w:rPr>
        <w:t>万元（含）的，付给被赡养（扶养、抚养）人一方的年赡养费（扶养、抚养）费按普通务工</w:t>
      </w:r>
      <w:r>
        <w:t>2</w:t>
      </w:r>
      <w:r>
        <w:rPr>
          <w:rFonts w:hint="eastAsia" w:ascii="仿宋_GB2312" w:eastAsia="仿宋_GB2312" w:cs="仿宋_GB2312"/>
        </w:rPr>
        <w:t>倍核算；工商注册资金</w:t>
      </w:r>
      <w:r>
        <w:t>20</w:t>
      </w:r>
      <w:r>
        <w:rPr>
          <w:rFonts w:hint="eastAsia" w:ascii="仿宋_GB2312" w:eastAsia="仿宋_GB2312" w:cs="仿宋_GB2312"/>
        </w:rPr>
        <w:t>万元以上，付给被赡养（扶养、抚养）人一方的年赡养费（扶养、抚养）费按普通务工</w:t>
      </w:r>
      <w:r>
        <w:t>3</w:t>
      </w:r>
      <w:r>
        <w:rPr>
          <w:rFonts w:hint="eastAsia" w:ascii="仿宋_GB2312" w:eastAsia="仿宋_GB2312" w:cs="仿宋_GB2312"/>
        </w:rPr>
        <w:t>倍核算。</w:t>
      </w:r>
    </w:p>
    <w:p w14:paraId="29114E68">
      <w:pPr>
        <w:pStyle w:val="2"/>
        <w:keepNext w:val="0"/>
        <w:keepLines w:val="0"/>
        <w:widowControl/>
        <w:suppressLineNumbers w:val="0"/>
        <w:spacing w:before="0" w:beforeAutospacing="0" w:after="0" w:afterAutospacing="0" w:line="570" w:lineRule="atLeast"/>
        <w:ind w:left="0" w:firstLine="640"/>
      </w:pPr>
      <w:r>
        <w:t>E.</w:t>
      </w:r>
      <w:r>
        <w:rPr>
          <w:rFonts w:hint="eastAsia" w:ascii="仿宋_GB2312" w:eastAsia="仿宋_GB2312" w:cs="仿宋_GB2312"/>
        </w:rPr>
        <w:t>子女家庭拥有家庭小轿车（残疾人代步车除外）、大型机械、运输车辆、大型农机具（农机补贴超过</w:t>
      </w:r>
      <w:r>
        <w:t>5000</w:t>
      </w:r>
      <w:r>
        <w:rPr>
          <w:rFonts w:hint="eastAsia" w:ascii="仿宋_GB2312" w:eastAsia="仿宋_GB2312" w:cs="仿宋_GB2312"/>
        </w:rPr>
        <w:t>元以上的），按购车价逐年折旧后，按目前价值的</w:t>
      </w:r>
      <w:r>
        <w:t>2%</w:t>
      </w:r>
      <w:r>
        <w:rPr>
          <w:rFonts w:hint="eastAsia" w:ascii="仿宋_GB2312" w:eastAsia="仿宋_GB2312" w:cs="仿宋_GB2312"/>
        </w:rPr>
        <w:t>核算付给父母一方的年赡养费（参考标准：从登记上牌开始，头五年每年的折旧率分别为</w:t>
      </w:r>
      <w:r>
        <w:t>15%</w:t>
      </w:r>
      <w:r>
        <w:rPr>
          <w:rFonts w:hint="eastAsia" w:ascii="仿宋_GB2312" w:eastAsia="仿宋_GB2312" w:cs="仿宋_GB2312"/>
        </w:rPr>
        <w:t>、</w:t>
      </w:r>
      <w:r>
        <w:t>12%</w:t>
      </w:r>
      <w:r>
        <w:rPr>
          <w:rFonts w:hint="eastAsia" w:ascii="仿宋_GB2312" w:eastAsia="仿宋_GB2312" w:cs="仿宋_GB2312"/>
        </w:rPr>
        <w:t>、</w:t>
      </w:r>
      <w:r>
        <w:t>10%</w:t>
      </w:r>
      <w:r>
        <w:rPr>
          <w:rFonts w:hint="eastAsia" w:ascii="仿宋_GB2312" w:eastAsia="仿宋_GB2312" w:cs="仿宋_GB2312"/>
        </w:rPr>
        <w:t>、</w:t>
      </w:r>
      <w:r>
        <w:t>8%</w:t>
      </w:r>
      <w:r>
        <w:rPr>
          <w:rFonts w:hint="eastAsia" w:ascii="仿宋_GB2312" w:eastAsia="仿宋_GB2312" w:cs="仿宋_GB2312"/>
        </w:rPr>
        <w:t>、</w:t>
      </w:r>
      <w:r>
        <w:t>7%</w:t>
      </w:r>
      <w:r>
        <w:rPr>
          <w:rFonts w:hint="eastAsia" w:ascii="仿宋_GB2312" w:eastAsia="仿宋_GB2312" w:cs="仿宋_GB2312"/>
        </w:rPr>
        <w:t>，五年后每年的折旧率约为</w:t>
      </w:r>
      <w:r>
        <w:t>5%</w:t>
      </w:r>
      <w:r>
        <w:rPr>
          <w:rFonts w:hint="eastAsia" w:ascii="仿宋_GB2312" w:eastAsia="仿宋_GB2312" w:cs="仿宋_GB2312"/>
        </w:rPr>
        <w:t>）。</w:t>
      </w:r>
    </w:p>
    <w:p w14:paraId="0F143CB2">
      <w:pPr>
        <w:pStyle w:val="2"/>
        <w:keepNext w:val="0"/>
        <w:keepLines w:val="0"/>
        <w:widowControl/>
        <w:suppressLineNumbers w:val="0"/>
        <w:spacing w:before="0" w:beforeAutospacing="0" w:after="0" w:afterAutospacing="0" w:line="570" w:lineRule="atLeast"/>
        <w:ind w:left="0" w:firstLine="640"/>
      </w:pPr>
      <w:r>
        <w:t>F.</w:t>
      </w:r>
      <w:r>
        <w:rPr>
          <w:rFonts w:hint="eastAsia" w:ascii="仿宋_GB2312" w:eastAsia="仿宋_GB2312" w:cs="仿宋_GB2312"/>
        </w:rPr>
        <w:t>子女为行政事业单位或企业正式职工，付给父母一方的年赡养费＝年工资总额×</w:t>
      </w:r>
      <w:r>
        <w:t>6%</w:t>
      </w:r>
      <w:r>
        <w:rPr>
          <w:rFonts w:hint="eastAsia" w:ascii="仿宋_GB2312" w:eastAsia="仿宋_GB2312" w:cs="仿宋_GB2312"/>
        </w:rPr>
        <w:t>。年工资总额以实际领取数进行核定；</w:t>
      </w:r>
    </w:p>
    <w:p w14:paraId="301C647C">
      <w:pPr>
        <w:pStyle w:val="2"/>
        <w:keepNext w:val="0"/>
        <w:keepLines w:val="0"/>
        <w:widowControl/>
        <w:suppressLineNumbers w:val="0"/>
        <w:spacing w:before="0" w:beforeAutospacing="0" w:after="0" w:afterAutospacing="0" w:line="570" w:lineRule="atLeast"/>
        <w:ind w:left="0" w:firstLine="640"/>
      </w:pPr>
      <w:r>
        <w:t>G.</w:t>
      </w:r>
      <w:r>
        <w:rPr>
          <w:rFonts w:hint="eastAsia" w:ascii="仿宋_GB2312" w:eastAsia="仿宋_GB2312" w:cs="仿宋_GB2312"/>
        </w:rPr>
        <w:t>领取村“两委”薪酬人员、村电工、社区工作者以及各类被行政事业单位长期聘用的人员年赡养费</w:t>
      </w:r>
      <w:r>
        <w:t>=</w:t>
      </w:r>
      <w:r>
        <w:rPr>
          <w:rFonts w:hint="eastAsia" w:ascii="仿宋_GB2312" w:eastAsia="仿宋_GB2312" w:cs="仿宋_GB2312"/>
        </w:rPr>
        <w:t>年工资总额×</w:t>
      </w:r>
      <w:r>
        <w:t>5%</w:t>
      </w:r>
      <w:r>
        <w:rPr>
          <w:rFonts w:hint="eastAsia" w:ascii="仿宋_GB2312" w:eastAsia="仿宋_GB2312" w:cs="仿宋_GB2312"/>
        </w:rPr>
        <w:t>，年工资总额按实际领取的数额计算；</w:t>
      </w:r>
    </w:p>
    <w:p w14:paraId="30C6247C">
      <w:pPr>
        <w:pStyle w:val="2"/>
        <w:keepNext w:val="0"/>
        <w:keepLines w:val="0"/>
        <w:widowControl/>
        <w:suppressLineNumbers w:val="0"/>
        <w:spacing w:before="0" w:beforeAutospacing="0" w:after="0" w:afterAutospacing="0" w:line="570" w:lineRule="atLeast"/>
        <w:ind w:left="0" w:firstLine="640"/>
      </w:pPr>
      <w:r>
        <w:t>H.</w:t>
      </w:r>
      <w:r>
        <w:rPr>
          <w:rFonts w:hint="eastAsia" w:ascii="仿宋_GB2312" w:eastAsia="仿宋_GB2312" w:cs="仿宋_GB2312"/>
        </w:rPr>
        <w:t>同一个子女，上述收入项目重复时，应累计计算收入和赡养费；子女的其他收入可按</w:t>
      </w:r>
      <w:r>
        <w:t>2%</w:t>
      </w:r>
      <w:r>
        <w:rPr>
          <w:rFonts w:hint="eastAsia" w:ascii="仿宋_GB2312" w:eastAsia="仿宋_GB2312" w:cs="仿宋_GB2312"/>
        </w:rPr>
        <w:t>核算计入赡养费；</w:t>
      </w:r>
    </w:p>
    <w:p w14:paraId="3BF53629">
      <w:pPr>
        <w:pStyle w:val="2"/>
        <w:keepNext w:val="0"/>
        <w:keepLines w:val="0"/>
        <w:widowControl/>
        <w:suppressLineNumbers w:val="0"/>
        <w:spacing w:before="0" w:beforeAutospacing="0" w:after="0" w:afterAutospacing="0" w:line="570" w:lineRule="atLeast"/>
        <w:ind w:left="0" w:firstLine="640"/>
      </w:pPr>
      <w:r>
        <w:t>I.</w:t>
      </w:r>
      <w:r>
        <w:rPr>
          <w:rFonts w:hint="eastAsia" w:ascii="仿宋_GB2312" w:eastAsia="仿宋_GB2312" w:cs="仿宋_GB2312"/>
        </w:rPr>
        <w:t>扶养费按照实际给付情况核算；</w:t>
      </w:r>
    </w:p>
    <w:p w14:paraId="284A95AA">
      <w:pPr>
        <w:pStyle w:val="2"/>
        <w:keepNext w:val="0"/>
        <w:keepLines w:val="0"/>
        <w:widowControl/>
        <w:suppressLineNumbers w:val="0"/>
        <w:spacing w:before="0" w:beforeAutospacing="0" w:after="0" w:afterAutospacing="0" w:line="570" w:lineRule="atLeast"/>
        <w:ind w:left="0" w:firstLine="640"/>
      </w:pPr>
      <w:r>
        <w:t>J.</w:t>
      </w:r>
      <w:r>
        <w:rPr>
          <w:rFonts w:hint="eastAsia" w:ascii="仿宋_GB2312" w:eastAsia="仿宋_GB2312" w:cs="仿宋_GB2312"/>
        </w:rPr>
        <w:t>对于离异家庭子女抚养费的核算，法律文书中有明确的，按法律文书执行，无法律文书的，抚养费按照实际情况给付；</w:t>
      </w:r>
    </w:p>
    <w:p w14:paraId="1E8A7155">
      <w:pPr>
        <w:pStyle w:val="2"/>
        <w:keepNext w:val="0"/>
        <w:keepLines w:val="0"/>
        <w:widowControl/>
        <w:suppressLineNumbers w:val="0"/>
        <w:spacing w:before="0" w:beforeAutospacing="0" w:after="0" w:afterAutospacing="0" w:line="570" w:lineRule="atLeast"/>
        <w:ind w:left="0" w:firstLine="640"/>
      </w:pPr>
      <w:r>
        <w:t>K.</w:t>
      </w:r>
      <w:r>
        <w:rPr>
          <w:rFonts w:hint="eastAsia" w:ascii="仿宋_GB2312" w:eastAsia="仿宋_GB2312" w:cs="仿宋_GB2312"/>
        </w:rPr>
        <w:t>子女（父、母）有下列情况的，可以不计算赡、抚养费：</w:t>
      </w:r>
    </w:p>
    <w:p w14:paraId="679EEC50">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子女（父、母）长期共同生活的家庭成员中目前有患重特大疾病的；重残人员的；目前享受最低生活保障、特困人员救助供养待遇的；正在服役的现役军人的（不包括军官、士官）；连续</w:t>
      </w:r>
      <w:r>
        <w:t>3</w:t>
      </w:r>
      <w:r>
        <w:rPr>
          <w:rFonts w:hint="eastAsia" w:ascii="仿宋_GB2312" w:eastAsia="仿宋_GB2312" w:cs="仿宋_GB2312"/>
        </w:rPr>
        <w:t>年以上（含</w:t>
      </w:r>
      <w:r>
        <w:t>3</w:t>
      </w:r>
      <w:r>
        <w:rPr>
          <w:rFonts w:hint="eastAsia" w:ascii="仿宋_GB2312" w:eastAsia="仿宋_GB2312" w:cs="仿宋_GB2312"/>
        </w:rPr>
        <w:t>年）脱离家庭独立生活的宗教教职人员；在监狱内服刑的；旗民政部门认定的其他情形；</w:t>
      </w:r>
    </w:p>
    <w:p w14:paraId="3F8DE4D4">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依靠兄弟姐妹或者</w:t>
      </w:r>
      <w:r>
        <w:t>60</w:t>
      </w:r>
      <w:r>
        <w:rPr>
          <w:rFonts w:hint="eastAsia" w:ascii="仿宋_GB2312" w:eastAsia="仿宋_GB2312" w:cs="仿宋_GB2312"/>
        </w:rPr>
        <w:t>周岁（含）及以上老年人供养的成年无业重度残疾人，在评估认定其家庭经济状况时，兄弟姐妹或者</w:t>
      </w:r>
      <w:r>
        <w:t>60</w:t>
      </w:r>
      <w:r>
        <w:rPr>
          <w:rFonts w:hint="eastAsia" w:ascii="仿宋_GB2312" w:eastAsia="仿宋_GB2312" w:cs="仿宋_GB2312"/>
        </w:rPr>
        <w:t>周岁（含）及以上老年人给付的供养费用，可以视情适当豁免。</w:t>
      </w:r>
    </w:p>
    <w:p w14:paraId="24978734">
      <w:pPr>
        <w:pStyle w:val="2"/>
        <w:keepNext w:val="0"/>
        <w:keepLines w:val="0"/>
        <w:widowControl/>
        <w:suppressLineNumbers w:val="0"/>
        <w:spacing w:before="0" w:beforeAutospacing="0" w:after="0" w:afterAutospacing="0" w:line="570" w:lineRule="atLeast"/>
        <w:ind w:left="0" w:firstLine="640"/>
      </w:pPr>
      <w:r>
        <w:rPr>
          <w:b/>
          <w:bCs/>
        </w:rPr>
        <w:t>2.</w:t>
      </w:r>
      <w:r>
        <w:rPr>
          <w:rFonts w:hint="eastAsia" w:ascii="仿宋_GB2312" w:eastAsia="仿宋_GB2312" w:cs="仿宋_GB2312"/>
          <w:b/>
          <w:bCs/>
        </w:rPr>
        <w:t>特殊困难家庭收入扣减核算</w:t>
      </w:r>
    </w:p>
    <w:p w14:paraId="68DA3B41">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对于因重残、重病完全丧失劳动能力的家庭，有未成年人的丧偶单亲家庭，一户多残、多重残疾家庭、</w:t>
      </w:r>
      <w:r>
        <w:t>65</w:t>
      </w:r>
      <w:r>
        <w:rPr>
          <w:rFonts w:hint="eastAsia" w:ascii="仿宋_GB2312" w:eastAsia="仿宋_GB2312" w:cs="仿宋_GB2312"/>
        </w:rPr>
        <w:t>周岁（含）以上丧偶家庭、</w:t>
      </w:r>
      <w:r>
        <w:t>70</w:t>
      </w:r>
      <w:r>
        <w:rPr>
          <w:rFonts w:hint="eastAsia" w:ascii="仿宋_GB2312" w:eastAsia="仿宋_GB2312" w:cs="仿宋_GB2312"/>
        </w:rPr>
        <w:t>周岁（含）以上老年人家庭等特殊困难家庭，进行收入扣减核算，以提高其救助水平。</w:t>
      </w:r>
    </w:p>
    <w:p w14:paraId="4CC4587E">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1</w:t>
      </w:r>
      <w:r>
        <w:rPr>
          <w:rFonts w:hint="eastAsia" w:ascii="仿宋_GB2312" w:eastAsia="仿宋_GB2312" w:cs="仿宋_GB2312"/>
        </w:rPr>
        <w:t>）长期共同生活的家庭成员，因重病或重残完全丧失劳动能力，需要家人照顾的特殊困难家庭（家庭成员劳动力系数代码为</w:t>
      </w:r>
      <w:r>
        <w:t>E1</w:t>
      </w:r>
      <w:r>
        <w:rPr>
          <w:rFonts w:hint="eastAsia" w:ascii="仿宋_GB2312" w:eastAsia="仿宋_GB2312" w:cs="仿宋_GB2312"/>
        </w:rPr>
        <w:t>、</w:t>
      </w:r>
      <w:r>
        <w:t>E2</w:t>
      </w:r>
      <w:r>
        <w:rPr>
          <w:rFonts w:hint="eastAsia" w:ascii="仿宋_GB2312" w:eastAsia="仿宋_GB2312" w:cs="仿宋_GB2312"/>
        </w:rPr>
        <w:t>、</w:t>
      </w:r>
      <w:r>
        <w:t>E3</w:t>
      </w:r>
      <w:r>
        <w:rPr>
          <w:rFonts w:hint="eastAsia" w:ascii="仿宋_GB2312" w:eastAsia="仿宋_GB2312" w:cs="仿宋_GB2312"/>
        </w:rPr>
        <w:t>、</w:t>
      </w:r>
      <w:r>
        <w:t>E4</w:t>
      </w:r>
      <w:r>
        <w:rPr>
          <w:rFonts w:hint="eastAsia" w:ascii="仿宋_GB2312" w:eastAsia="仿宋_GB2312" w:cs="仿宋_GB2312"/>
        </w:rPr>
        <w:t>、</w:t>
      </w:r>
      <w:r>
        <w:t>E5</w:t>
      </w:r>
      <w:r>
        <w:rPr>
          <w:rFonts w:hint="eastAsia" w:ascii="仿宋_GB2312" w:eastAsia="仿宋_GB2312" w:cs="仿宋_GB2312"/>
        </w:rPr>
        <w:t>的重残人员或代码为</w:t>
      </w:r>
      <w:r>
        <w:t>F1</w:t>
      </w:r>
      <w:r>
        <w:rPr>
          <w:rFonts w:hint="eastAsia" w:ascii="仿宋_GB2312" w:eastAsia="仿宋_GB2312" w:cs="仿宋_GB2312"/>
        </w:rPr>
        <w:t>、</w:t>
      </w:r>
      <w:r>
        <w:t>F2</w:t>
      </w:r>
      <w:r>
        <w:rPr>
          <w:rFonts w:hint="eastAsia" w:ascii="仿宋_GB2312" w:eastAsia="仿宋_GB2312" w:cs="仿宋_GB2312"/>
        </w:rPr>
        <w:t>、</w:t>
      </w:r>
      <w:r>
        <w:t>F3</w:t>
      </w:r>
      <w:r>
        <w:rPr>
          <w:rFonts w:hint="eastAsia" w:ascii="仿宋_GB2312" w:eastAsia="仿宋_GB2312" w:cs="仿宋_GB2312"/>
        </w:rPr>
        <w:t>、</w:t>
      </w:r>
      <w:r>
        <w:t>F4</w:t>
      </w:r>
      <w:r>
        <w:rPr>
          <w:rFonts w:hint="eastAsia" w:ascii="仿宋_GB2312" w:eastAsia="仿宋_GB2312" w:cs="仿宋_GB2312"/>
        </w:rPr>
        <w:t>、</w:t>
      </w:r>
      <w:r>
        <w:t>F5</w:t>
      </w:r>
      <w:r>
        <w:rPr>
          <w:rFonts w:hint="eastAsia" w:ascii="仿宋_GB2312" w:eastAsia="仿宋_GB2312" w:cs="仿宋_GB2312"/>
        </w:rPr>
        <w:t>的重病人员）：</w:t>
      </w:r>
    </w:p>
    <w:p w14:paraId="53012B8D">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农村牧区家庭年收入核算减少金额＝上一年度本地区农牧民人均可支配收入基准数×</w:t>
      </w:r>
      <w:r>
        <w:t>0.3</w:t>
      </w:r>
      <w:r>
        <w:rPr>
          <w:rFonts w:hint="eastAsia" w:ascii="仿宋_GB2312" w:eastAsia="仿宋_GB2312" w:cs="仿宋_GB2312"/>
        </w:rPr>
        <w:t>（家庭扣减系数，下同）×家庭成员重病或重残人数；</w:t>
      </w:r>
    </w:p>
    <w:p w14:paraId="5A2AAA55">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城镇家庭（包括迁入城镇居住的农村牧区居民）月收入核算减少金额＝上年度本地区最低工资标准×</w:t>
      </w:r>
      <w:r>
        <w:t>0.3</w:t>
      </w:r>
      <w:r>
        <w:rPr>
          <w:rFonts w:hint="eastAsia" w:ascii="仿宋_GB2312" w:eastAsia="仿宋_GB2312" w:cs="仿宋_GB2312"/>
        </w:rPr>
        <w:t>×家庭成员重病或重残人数。</w:t>
      </w:r>
    </w:p>
    <w:p w14:paraId="5B6D4D7B">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2</w:t>
      </w:r>
      <w:r>
        <w:rPr>
          <w:rFonts w:hint="eastAsia" w:ascii="仿宋_GB2312" w:eastAsia="仿宋_GB2312" w:cs="仿宋_GB2312"/>
        </w:rPr>
        <w:t>）有未成年人的丧偶单亲家庭、一户多残、多重残疾家庭和</w:t>
      </w:r>
      <w:r>
        <w:t>65</w:t>
      </w:r>
      <w:r>
        <w:rPr>
          <w:rFonts w:hint="eastAsia" w:ascii="仿宋_GB2312" w:eastAsia="仿宋_GB2312" w:cs="仿宋_GB2312"/>
        </w:rPr>
        <w:t>周岁（含）以上丧偶家庭、</w:t>
      </w:r>
      <w:r>
        <w:t>70</w:t>
      </w:r>
      <w:r>
        <w:rPr>
          <w:rFonts w:hint="eastAsia" w:ascii="仿宋_GB2312" w:eastAsia="仿宋_GB2312" w:cs="仿宋_GB2312"/>
        </w:rPr>
        <w:t>周岁（含）以上老年人家庭：</w:t>
      </w:r>
    </w:p>
    <w:p w14:paraId="07DBE593">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农村牧区家庭年收入核算减少金额＝上一年度本地区农牧民人均可支配收入基准数×</w:t>
      </w:r>
      <w:r>
        <w:t>0.2</w:t>
      </w:r>
      <w:r>
        <w:rPr>
          <w:rFonts w:hint="eastAsia" w:ascii="仿宋_GB2312" w:eastAsia="仿宋_GB2312" w:cs="仿宋_GB2312"/>
        </w:rPr>
        <w:t>；</w:t>
      </w:r>
    </w:p>
    <w:p w14:paraId="7BA26F32">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城镇家庭（包括迁入城镇居住的农村牧区居民）月收入减少金额＝上一年度本地区最低工资标准×</w:t>
      </w:r>
      <w:r>
        <w:t>0.2</w:t>
      </w:r>
      <w:r>
        <w:rPr>
          <w:rFonts w:hint="eastAsia" w:ascii="仿宋_GB2312" w:eastAsia="仿宋_GB2312" w:cs="仿宋_GB2312"/>
        </w:rPr>
        <w:t>。</w:t>
      </w:r>
    </w:p>
    <w:p w14:paraId="7B306091">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上述（</w:t>
      </w:r>
      <w:r>
        <w:t>1</w:t>
      </w:r>
      <w:r>
        <w:rPr>
          <w:rFonts w:hint="eastAsia" w:ascii="仿宋_GB2312" w:eastAsia="仿宋_GB2312" w:cs="仿宋_GB2312"/>
        </w:rPr>
        <w:t>）与（</w:t>
      </w:r>
      <w:r>
        <w:t>2</w:t>
      </w:r>
      <w:r>
        <w:rPr>
          <w:rFonts w:hint="eastAsia" w:ascii="仿宋_GB2312" w:eastAsia="仿宋_GB2312" w:cs="仿宋_GB2312"/>
        </w:rPr>
        <w:t>）中重复的，应进行重复扣减家庭核算收入；（</w:t>
      </w:r>
      <w:r>
        <w:t>2</w:t>
      </w:r>
      <w:r>
        <w:rPr>
          <w:rFonts w:hint="eastAsia" w:ascii="仿宋_GB2312" w:eastAsia="仿宋_GB2312" w:cs="仿宋_GB2312"/>
        </w:rPr>
        <w:t>）中几种情况重复的家庭，只扣减</w:t>
      </w:r>
      <w:r>
        <w:t>1</w:t>
      </w:r>
      <w:r>
        <w:rPr>
          <w:rFonts w:hint="eastAsia" w:ascii="仿宋_GB2312" w:eastAsia="仿宋_GB2312" w:cs="仿宋_GB2312"/>
        </w:rPr>
        <w:t>次家庭核算收入；</w:t>
      </w:r>
    </w:p>
    <w:p w14:paraId="15AEA0B9">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多重残疾人员，先按多重残疾中残疾程度较重的核定个人劳动力系数核算收入，再扣减家庭核算收入。</w:t>
      </w:r>
    </w:p>
    <w:p w14:paraId="0D775803">
      <w:pPr>
        <w:pStyle w:val="2"/>
        <w:keepNext w:val="0"/>
        <w:keepLines w:val="0"/>
        <w:widowControl/>
        <w:suppressLineNumbers w:val="0"/>
        <w:spacing w:before="0" w:beforeAutospacing="0" w:after="0" w:afterAutospacing="0" w:line="570" w:lineRule="atLeast"/>
        <w:ind w:left="0" w:firstLine="640"/>
      </w:pPr>
      <w:r>
        <w:rPr>
          <w:b/>
          <w:bCs/>
        </w:rPr>
        <w:t>3.</w:t>
      </w:r>
      <w:r>
        <w:rPr>
          <w:rFonts w:hint="eastAsia" w:ascii="仿宋_GB2312" w:eastAsia="仿宋_GB2312" w:cs="仿宋_GB2312"/>
          <w:b/>
          <w:bCs/>
        </w:rPr>
        <w:t>扣减家庭刚性支出核算</w:t>
      </w:r>
    </w:p>
    <w:p w14:paraId="792D829B">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1</w:t>
      </w:r>
      <w:r>
        <w:rPr>
          <w:rFonts w:hint="eastAsia" w:ascii="仿宋_GB2312" w:eastAsia="仿宋_GB2312" w:cs="仿宋_GB2312"/>
        </w:rPr>
        <w:t>）因病支出扣减</w:t>
      </w:r>
    </w:p>
    <w:p w14:paraId="68FEA19C">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①上年度以来，患重特大疾病、慢病住院治疗，扣除各种报销和救助后个人自付部分</w:t>
      </w:r>
      <w:r>
        <w:t>5000</w:t>
      </w:r>
      <w:r>
        <w:rPr>
          <w:rFonts w:hint="eastAsia" w:ascii="仿宋_GB2312" w:eastAsia="仿宋_GB2312" w:cs="仿宋_GB2312"/>
        </w:rPr>
        <w:t>元（含）以上的家庭按超出部分金额计入困难家庭合理性支出，扣减封顶线为</w:t>
      </w:r>
      <w:r>
        <w:t>10000</w:t>
      </w:r>
      <w:r>
        <w:rPr>
          <w:rFonts w:hint="eastAsia" w:ascii="仿宋_GB2312" w:eastAsia="仿宋_GB2312" w:cs="仿宋_GB2312"/>
        </w:rPr>
        <w:t>元；</w:t>
      </w:r>
    </w:p>
    <w:p w14:paraId="0DC03D7D">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②上年度以来，同一个家庭成员患其他疾病住院治疗、个人累计自付部分</w:t>
      </w:r>
      <w:r>
        <w:t>10000</w:t>
      </w:r>
      <w:r>
        <w:rPr>
          <w:rFonts w:hint="eastAsia" w:ascii="仿宋_GB2312" w:eastAsia="仿宋_GB2312" w:cs="仿宋_GB2312"/>
        </w:rPr>
        <w:t>元（含）以上的家庭扣减超出</w:t>
      </w:r>
      <w:r>
        <w:t>10000</w:t>
      </w:r>
      <w:r>
        <w:rPr>
          <w:rFonts w:hint="eastAsia" w:ascii="仿宋_GB2312" w:eastAsia="仿宋_GB2312" w:cs="仿宋_GB2312"/>
        </w:rPr>
        <w:t>元以上的部分，扣减封顶线为</w:t>
      </w:r>
      <w:r>
        <w:t>10000</w:t>
      </w:r>
      <w:r>
        <w:rPr>
          <w:rFonts w:hint="eastAsia" w:ascii="仿宋_GB2312" w:eastAsia="仿宋_GB2312" w:cs="仿宋_GB2312"/>
        </w:rPr>
        <w:t>元；</w:t>
      </w:r>
    </w:p>
    <w:p w14:paraId="2FE3BBBE">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③因特殊原因未在医保定点医院住院发生的医疗费用及公立医院的门诊治疗费用，按</w:t>
      </w:r>
      <w:r>
        <w:t>30%</w:t>
      </w:r>
      <w:r>
        <w:rPr>
          <w:rFonts w:hint="eastAsia" w:ascii="仿宋_GB2312" w:eastAsia="仿宋_GB2312" w:cs="仿宋_GB2312"/>
        </w:rPr>
        <w:t>计入家庭支出扣减；</w:t>
      </w:r>
    </w:p>
    <w:p w14:paraId="20AEB5E6">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④车祸（有责任人并给予赔偿的）、吸毒、自残等情况，城乡基本医疗保险部门未报销的医药费不列入家庭扣减范围。</w:t>
      </w:r>
    </w:p>
    <w:p w14:paraId="02C071CC">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2</w:t>
      </w:r>
      <w:r>
        <w:rPr>
          <w:rFonts w:hint="eastAsia" w:ascii="仿宋_GB2312" w:eastAsia="仿宋_GB2312" w:cs="仿宋_GB2312"/>
        </w:rPr>
        <w:t>）因残支出扣减</w:t>
      </w:r>
    </w:p>
    <w:p w14:paraId="4281511C">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残疾人用于康复治疗以及购买必要的辅助器械配备的费用（精神、智力及重度肢体、重度视力残疾人包括必要的护理费用），个人实际支出总费用在</w:t>
      </w:r>
      <w:r>
        <w:t>3000</w:t>
      </w:r>
      <w:r>
        <w:rPr>
          <w:rFonts w:hint="eastAsia" w:ascii="仿宋_GB2312" w:eastAsia="仿宋_GB2312" w:cs="仿宋_GB2312"/>
        </w:rPr>
        <w:t>以内的据实计算，超过</w:t>
      </w:r>
      <w:r>
        <w:t>3000</w:t>
      </w:r>
      <w:r>
        <w:rPr>
          <w:rFonts w:hint="eastAsia" w:ascii="仿宋_GB2312" w:eastAsia="仿宋_GB2312" w:cs="仿宋_GB2312"/>
        </w:rPr>
        <w:t>元的按</w:t>
      </w:r>
      <w:r>
        <w:t>3000</w:t>
      </w:r>
      <w:r>
        <w:rPr>
          <w:rFonts w:hint="eastAsia" w:ascii="仿宋_GB2312" w:eastAsia="仿宋_GB2312" w:cs="仿宋_GB2312"/>
        </w:rPr>
        <w:t>元计算。</w:t>
      </w:r>
    </w:p>
    <w:p w14:paraId="26C93F87">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3</w:t>
      </w:r>
      <w:r>
        <w:rPr>
          <w:rFonts w:hint="eastAsia" w:ascii="仿宋_GB2312" w:eastAsia="仿宋_GB2312" w:cs="仿宋_GB2312"/>
        </w:rPr>
        <w:t>）因学支出扣减</w:t>
      </w:r>
    </w:p>
    <w:p w14:paraId="4F9A31BC">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同一家庭有两个及以上在读大学生的，每户扣减</w:t>
      </w:r>
      <w:r>
        <w:t>6000</w:t>
      </w:r>
      <w:r>
        <w:rPr>
          <w:rFonts w:hint="eastAsia" w:ascii="仿宋_GB2312" w:eastAsia="仿宋_GB2312" w:cs="仿宋_GB2312"/>
        </w:rPr>
        <w:t>元。</w:t>
      </w:r>
    </w:p>
    <w:p w14:paraId="71CD3E57">
      <w:pPr>
        <w:pStyle w:val="2"/>
        <w:keepNext w:val="0"/>
        <w:keepLines w:val="0"/>
        <w:widowControl/>
        <w:suppressLineNumbers w:val="0"/>
        <w:spacing w:before="0" w:beforeAutospacing="0" w:after="0" w:afterAutospacing="0" w:line="570" w:lineRule="atLeast"/>
        <w:ind w:left="0" w:firstLine="640"/>
      </w:pPr>
      <w:r>
        <w:rPr>
          <w:b/>
          <w:bCs/>
        </w:rPr>
        <w:t>4.</w:t>
      </w:r>
      <w:r>
        <w:rPr>
          <w:rFonts w:hint="eastAsia" w:ascii="仿宋_GB2312" w:eastAsia="仿宋_GB2312" w:cs="仿宋_GB2312"/>
          <w:b/>
          <w:bCs/>
        </w:rPr>
        <w:t>不计入家庭收入项目</w:t>
      </w:r>
    </w:p>
    <w:p w14:paraId="1F885B5F">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1</w:t>
      </w:r>
      <w:r>
        <w:rPr>
          <w:rFonts w:hint="eastAsia" w:ascii="仿宋_GB2312" w:eastAsia="仿宋_GB2312" w:cs="仿宋_GB2312"/>
        </w:rPr>
        <w:t>）优抚对象按照国家规定享受的优抚待遇；</w:t>
      </w:r>
    </w:p>
    <w:p w14:paraId="381AC151">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2</w:t>
      </w:r>
      <w:r>
        <w:rPr>
          <w:rFonts w:hint="eastAsia" w:ascii="仿宋_GB2312" w:eastAsia="仿宋_GB2312" w:cs="仿宋_GB2312"/>
        </w:rPr>
        <w:t>）见义勇为人员获得的一次性奖励金；省市级以上劳动模范退休后享受的荣誉津贴；</w:t>
      </w:r>
    </w:p>
    <w:p w14:paraId="3B77E9D5">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3</w:t>
      </w:r>
      <w:r>
        <w:rPr>
          <w:rFonts w:hint="eastAsia" w:ascii="仿宋_GB2312" w:eastAsia="仿宋_GB2312" w:cs="仿宋_GB2312"/>
        </w:rPr>
        <w:t>）在校学生获得的奖学金、助学金、困难补助金；</w:t>
      </w:r>
    </w:p>
    <w:p w14:paraId="3826497B">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4</w:t>
      </w:r>
      <w:r>
        <w:rPr>
          <w:rFonts w:hint="eastAsia" w:ascii="仿宋_GB2312" w:eastAsia="仿宋_GB2312" w:cs="仿宋_GB2312"/>
        </w:rPr>
        <w:t>）各级政府、社会各界给予的临时性救助款物；</w:t>
      </w:r>
    </w:p>
    <w:p w14:paraId="6F6212D2">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5</w:t>
      </w:r>
      <w:r>
        <w:rPr>
          <w:rFonts w:hint="eastAsia" w:ascii="仿宋_GB2312" w:eastAsia="仿宋_GB2312" w:cs="仿宋_GB2312"/>
        </w:rPr>
        <w:t>）抚恤金、丧葬费；</w:t>
      </w:r>
    </w:p>
    <w:p w14:paraId="3356F1FC">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6</w:t>
      </w:r>
      <w:r>
        <w:rPr>
          <w:rFonts w:hint="eastAsia" w:ascii="仿宋_GB2312" w:eastAsia="仿宋_GB2312" w:cs="仿宋_GB2312"/>
        </w:rPr>
        <w:t>）人身损害赔偿金中的医疗费、护理费、交通费、住宿费、住院伙食补助费、营养费、残疾辅助器具费、康复费、后续治疗费；</w:t>
      </w:r>
    </w:p>
    <w:p w14:paraId="394B49FC">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7</w:t>
      </w:r>
      <w:r>
        <w:rPr>
          <w:rFonts w:hint="eastAsia" w:ascii="仿宋_GB2312" w:eastAsia="仿宋_GB2312" w:cs="仿宋_GB2312"/>
        </w:rPr>
        <w:t>）工（公）伤职工除按月领取的停工留薪工资福利、伤残津贴，工（公）亡职工供养亲属抚恤金以外的工伤保险金；</w:t>
      </w:r>
    </w:p>
    <w:p w14:paraId="0E6CCD58">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8</w:t>
      </w:r>
      <w:r>
        <w:rPr>
          <w:rFonts w:hint="eastAsia" w:ascii="仿宋_GB2312" w:eastAsia="仿宋_GB2312" w:cs="仿宋_GB2312"/>
        </w:rPr>
        <w:t>）医疗保险待遇中的个人账户医保金、住院及门诊报销的医疗费、医疗补助费；</w:t>
      </w:r>
    </w:p>
    <w:p w14:paraId="05230EEF">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9</w:t>
      </w:r>
      <w:r>
        <w:rPr>
          <w:rFonts w:hint="eastAsia" w:ascii="仿宋_GB2312" w:eastAsia="仿宋_GB2312" w:cs="仿宋_GB2312"/>
        </w:rPr>
        <w:t>）计划生育奖励与扶助金；</w:t>
      </w:r>
    </w:p>
    <w:p w14:paraId="0656891E">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10</w:t>
      </w:r>
      <w:r>
        <w:rPr>
          <w:rFonts w:hint="eastAsia" w:ascii="仿宋_GB2312" w:eastAsia="仿宋_GB2312" w:cs="仿宋_GB2312"/>
        </w:rPr>
        <w:t>）高龄津贴、困难残疾人生活补贴、重度残疾人护理补贴、经济困难老年人养老服务补贴；</w:t>
      </w:r>
    </w:p>
    <w:p w14:paraId="2F21DE74">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11</w:t>
      </w:r>
      <w:r>
        <w:rPr>
          <w:rFonts w:hint="eastAsia" w:ascii="仿宋_GB2312" w:eastAsia="仿宋_GB2312" w:cs="仿宋_GB2312"/>
        </w:rPr>
        <w:t>）“十四五”期间，中央和自治区确定的城乡居民基本养老保险基础养老金；</w:t>
      </w:r>
    </w:p>
    <w:p w14:paraId="4CE9CBF2">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12</w:t>
      </w:r>
      <w:r>
        <w:rPr>
          <w:rFonts w:hint="eastAsia" w:ascii="仿宋_GB2312" w:eastAsia="仿宋_GB2312" w:cs="仿宋_GB2312"/>
        </w:rPr>
        <w:t>）其他按政策法规规定不应当计入家庭收入的项目。</w:t>
      </w:r>
    </w:p>
    <w:p w14:paraId="5573A379">
      <w:pPr>
        <w:pStyle w:val="2"/>
        <w:keepNext w:val="0"/>
        <w:keepLines w:val="0"/>
        <w:widowControl/>
        <w:suppressLineNumbers w:val="0"/>
        <w:spacing w:before="0" w:beforeAutospacing="0" w:after="0" w:afterAutospacing="0" w:line="570" w:lineRule="atLeast"/>
        <w:ind w:left="0" w:firstLine="640"/>
      </w:pPr>
      <w:r>
        <w:rPr>
          <w:rFonts w:hint="eastAsia" w:ascii="楷体_GB2312" w:eastAsia="楷体_GB2312" w:cs="楷体_GB2312"/>
          <w:b/>
          <w:bCs/>
        </w:rPr>
        <w:t>（二）家庭财产</w:t>
      </w:r>
    </w:p>
    <w:p w14:paraId="5AEBD9F4">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家庭财产指共同生活的家庭成员拥有的全部动产和不动产。动产主要包括银行存款、证券、基金、商业保险、债权、互联网金融资产以及车辆等。不动产主要包括房屋、林木等定着物。对于维持家庭生产生活的必需财产，可以在认定家庭财产状况时予以豁免。</w:t>
      </w:r>
    </w:p>
    <w:p w14:paraId="607F9075">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家庭财产的核定，在申请家庭签订《家庭经济状况核查授权委托书》和《如实申报承诺书》的前提下，以部门间信息资源共享为核查方法。</w:t>
      </w:r>
    </w:p>
    <w:p w14:paraId="4E780DE1">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原则上家庭财产状况应符合以下条件：</w:t>
      </w:r>
    </w:p>
    <w:p w14:paraId="53AE56BE">
      <w:pPr>
        <w:pStyle w:val="2"/>
        <w:keepNext w:val="0"/>
        <w:keepLines w:val="0"/>
        <w:widowControl/>
        <w:suppressLineNumbers w:val="0"/>
        <w:spacing w:before="0" w:beforeAutospacing="0" w:after="0" w:afterAutospacing="0" w:line="570" w:lineRule="atLeast"/>
        <w:ind w:left="0" w:firstLine="640"/>
      </w:pPr>
      <w:r>
        <w:t>1.</w:t>
      </w:r>
      <w:r>
        <w:rPr>
          <w:rFonts w:hint="eastAsia" w:ascii="仿宋_GB2312" w:eastAsia="仿宋_GB2312" w:cs="仿宋_GB2312"/>
        </w:rPr>
        <w:t>申请家庭有价证券、股票、银行存款等人均金融资产不超过本地区</w:t>
      </w:r>
      <w:r>
        <w:t>24</w:t>
      </w:r>
      <w:r>
        <w:rPr>
          <w:rFonts w:hint="eastAsia" w:ascii="仿宋_GB2312" w:eastAsia="仿宋_GB2312" w:cs="仿宋_GB2312"/>
        </w:rPr>
        <w:t>个月城乡居民最低生活保障标准，且有合理刚性支出证明的家庭；</w:t>
      </w:r>
    </w:p>
    <w:p w14:paraId="15E939F5">
      <w:pPr>
        <w:pStyle w:val="2"/>
        <w:keepNext w:val="0"/>
        <w:keepLines w:val="0"/>
        <w:widowControl/>
        <w:suppressLineNumbers w:val="0"/>
        <w:spacing w:before="0" w:beforeAutospacing="0" w:after="0" w:afterAutospacing="0" w:line="570" w:lineRule="atLeast"/>
        <w:ind w:left="0" w:firstLine="640"/>
      </w:pPr>
      <w:r>
        <w:t>2.</w:t>
      </w:r>
      <w:r>
        <w:rPr>
          <w:rFonts w:hint="eastAsia" w:ascii="仿宋_GB2312" w:eastAsia="仿宋_GB2312" w:cs="仿宋_GB2312"/>
        </w:rPr>
        <w:t>城镇家庭仅有一套住房且单套房屋建筑面积不超过</w:t>
      </w:r>
      <w:r>
        <w:t>100</w:t>
      </w:r>
      <w:r>
        <w:rPr>
          <w:rFonts w:hint="eastAsia" w:ascii="仿宋_GB2312" w:eastAsia="仿宋_GB2312" w:cs="仿宋_GB2312"/>
        </w:rPr>
        <w:t>平的；农村牧区家庭仅有</w:t>
      </w:r>
      <w:r>
        <w:t>1</w:t>
      </w:r>
      <w:r>
        <w:rPr>
          <w:rFonts w:hint="eastAsia" w:ascii="仿宋_GB2312" w:eastAsia="仿宋_GB2312" w:cs="仿宋_GB2312"/>
        </w:rPr>
        <w:t>处住房且没有房屋出租的；家庭没有商业用房的（仅用于居住的除外）；享受最低生活保障期间未购买超过当地标准住房的；</w:t>
      </w:r>
    </w:p>
    <w:p w14:paraId="75136335">
      <w:pPr>
        <w:pStyle w:val="2"/>
        <w:keepNext w:val="0"/>
        <w:keepLines w:val="0"/>
        <w:widowControl/>
        <w:suppressLineNumbers w:val="0"/>
        <w:spacing w:before="0" w:beforeAutospacing="0" w:after="0" w:afterAutospacing="0" w:line="570" w:lineRule="atLeast"/>
        <w:ind w:left="0" w:firstLine="640"/>
      </w:pPr>
      <w:r>
        <w:t>3.</w:t>
      </w:r>
      <w:r>
        <w:rPr>
          <w:rFonts w:hint="eastAsia" w:ascii="仿宋_GB2312" w:eastAsia="仿宋_GB2312" w:cs="仿宋_GB2312"/>
        </w:rPr>
        <w:t>家庭无营运性车辆、消费型机动车、大型农机具（农机补贴超过</w:t>
      </w:r>
      <w:r>
        <w:t>5000</w:t>
      </w:r>
      <w:r>
        <w:rPr>
          <w:rFonts w:hint="eastAsia" w:ascii="仿宋_GB2312" w:eastAsia="仿宋_GB2312" w:cs="仿宋_GB2312"/>
        </w:rPr>
        <w:t>元的），且未长期使用非家庭成员名下车辆的（残疾人代步车、生活用摩托车和三轮车、电瓶单车除外）；</w:t>
      </w:r>
    </w:p>
    <w:p w14:paraId="76C85B14">
      <w:pPr>
        <w:pStyle w:val="2"/>
        <w:keepNext w:val="0"/>
        <w:keepLines w:val="0"/>
        <w:widowControl/>
        <w:suppressLineNumbers w:val="0"/>
        <w:spacing w:before="0" w:beforeAutospacing="0" w:after="0" w:afterAutospacing="0" w:line="570" w:lineRule="atLeast"/>
        <w:ind w:left="0" w:firstLine="640"/>
      </w:pPr>
      <w:r>
        <w:t>4</w:t>
      </w:r>
      <w:r>
        <w:rPr>
          <w:rFonts w:hint="eastAsia" w:ascii="仿宋_GB2312" w:eastAsia="仿宋_GB2312" w:cs="仿宋_GB2312"/>
        </w:rPr>
        <w:t>、有个体工商经营、合作社经营或工商企业注册信息的，旗民政部门将根据实际情况，适时调整家庭财产因素评估核算及扣减办法。</w:t>
      </w:r>
    </w:p>
    <w:p w14:paraId="2824BA24">
      <w:pPr>
        <w:pStyle w:val="2"/>
        <w:keepNext w:val="0"/>
        <w:keepLines w:val="0"/>
        <w:widowControl/>
        <w:suppressLineNumbers w:val="0"/>
        <w:spacing w:before="0" w:beforeAutospacing="0" w:after="0" w:afterAutospacing="0" w:line="570" w:lineRule="atLeast"/>
        <w:ind w:left="0" w:firstLine="640"/>
      </w:pPr>
      <w:r>
        <w:rPr>
          <w:rFonts w:hint="eastAsia" w:ascii="楷体_GB2312" w:eastAsia="楷体_GB2312" w:cs="楷体_GB2312"/>
          <w:b/>
          <w:bCs/>
        </w:rPr>
        <w:t>（三）调查方式</w:t>
      </w:r>
    </w:p>
    <w:p w14:paraId="36FECE9B">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苏木乡镇街道人民政府（管理办）、大兴农场应当自受理最低生活保障申请之日起</w:t>
      </w:r>
      <w:r>
        <w:t>3</w:t>
      </w:r>
      <w:r>
        <w:rPr>
          <w:rFonts w:hint="eastAsia" w:ascii="仿宋_GB2312" w:eastAsia="仿宋_GB2312" w:cs="仿宋_GB2312"/>
        </w:rPr>
        <w:t>个工作日内，启动家庭经济状况调查工作。调查可以通过入户调查、邻里访问、信函索证或者提请旗民政部门开展家庭经济状况信息核对等方式进行。</w:t>
      </w:r>
    </w:p>
    <w:p w14:paraId="0432BF68">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苏木乡镇街道人民政府（管理办）、大兴农场可以在嘎查村（居）民委员会协助下，通过下列方式对申请家庭的经济状况和实际生活情况予以调查核实。每组调查人员不得少于</w:t>
      </w:r>
      <w:r>
        <w:t>2</w:t>
      </w:r>
      <w:r>
        <w:rPr>
          <w:rFonts w:hint="eastAsia" w:ascii="仿宋_GB2312" w:eastAsia="仿宋_GB2312" w:cs="仿宋_GB2312"/>
        </w:rPr>
        <w:t>人。</w:t>
      </w:r>
    </w:p>
    <w:p w14:paraId="2BE17198">
      <w:pPr>
        <w:pStyle w:val="2"/>
        <w:keepNext w:val="0"/>
        <w:keepLines w:val="0"/>
        <w:widowControl/>
        <w:suppressLineNumbers w:val="0"/>
        <w:spacing w:before="0" w:beforeAutospacing="0" w:after="0" w:afterAutospacing="0" w:line="570" w:lineRule="atLeast"/>
        <w:ind w:left="0" w:firstLine="640"/>
      </w:pPr>
      <w:r>
        <w:rPr>
          <w:b/>
          <w:bCs/>
        </w:rPr>
        <w:t>1.</w:t>
      </w:r>
      <w:r>
        <w:rPr>
          <w:rFonts w:hint="eastAsia" w:ascii="仿宋_GB2312" w:eastAsia="仿宋_GB2312" w:cs="仿宋_GB2312"/>
          <w:b/>
          <w:bCs/>
        </w:rPr>
        <w:t>入户调查。</w:t>
      </w:r>
      <w:r>
        <w:rPr>
          <w:rFonts w:hint="eastAsia" w:ascii="仿宋_GB2312" w:eastAsia="仿宋_GB2312" w:cs="仿宋_GB2312"/>
        </w:rPr>
        <w:t>调查人员到申请家庭中了解家庭收入、财产情况和吃、穿、住、用等实际生活情况。入户调查结束后，调查人员应当填写入户调查表，并由调查人员和在场的共同生活家庭成员分别签字。</w:t>
      </w:r>
    </w:p>
    <w:p w14:paraId="0BA9CD5B">
      <w:pPr>
        <w:pStyle w:val="2"/>
        <w:keepNext w:val="0"/>
        <w:keepLines w:val="0"/>
        <w:widowControl/>
        <w:suppressLineNumbers w:val="0"/>
        <w:spacing w:before="0" w:beforeAutospacing="0" w:after="0" w:afterAutospacing="0" w:line="570" w:lineRule="atLeast"/>
        <w:ind w:left="0" w:firstLine="640"/>
      </w:pPr>
      <w:r>
        <w:rPr>
          <w:b/>
          <w:bCs/>
        </w:rPr>
        <w:t>2.</w:t>
      </w:r>
      <w:r>
        <w:rPr>
          <w:rFonts w:hint="eastAsia" w:ascii="仿宋_GB2312" w:eastAsia="仿宋_GB2312" w:cs="仿宋_GB2312"/>
          <w:b/>
          <w:bCs/>
        </w:rPr>
        <w:t>邻里访问。</w:t>
      </w:r>
      <w:r>
        <w:rPr>
          <w:rFonts w:hint="eastAsia" w:ascii="仿宋_GB2312" w:eastAsia="仿宋_GB2312" w:cs="仿宋_GB2312"/>
        </w:rPr>
        <w:t>调查人员到申请家庭所在嘎查村（居）民委员会和社区，走访了解其家庭收入、财产和实际生活状况。</w:t>
      </w:r>
    </w:p>
    <w:p w14:paraId="08D2B0FC">
      <w:pPr>
        <w:pStyle w:val="2"/>
        <w:keepNext w:val="0"/>
        <w:keepLines w:val="0"/>
        <w:widowControl/>
        <w:suppressLineNumbers w:val="0"/>
        <w:spacing w:before="0" w:beforeAutospacing="0" w:after="0" w:afterAutospacing="0" w:line="570" w:lineRule="atLeast"/>
        <w:ind w:left="0" w:firstLine="640"/>
      </w:pPr>
      <w:r>
        <w:rPr>
          <w:b/>
          <w:bCs/>
        </w:rPr>
        <w:t>3.</w:t>
      </w:r>
      <w:r>
        <w:rPr>
          <w:rFonts w:hint="eastAsia" w:ascii="仿宋_GB2312" w:eastAsia="仿宋_GB2312" w:cs="仿宋_GB2312"/>
          <w:b/>
          <w:bCs/>
        </w:rPr>
        <w:t>信函索证。</w:t>
      </w:r>
      <w:r>
        <w:rPr>
          <w:rFonts w:hint="eastAsia" w:ascii="仿宋_GB2312" w:eastAsia="仿宋_GB2312" w:cs="仿宋_GB2312"/>
        </w:rPr>
        <w:t>调查人员以信函等方式向相关单位和部门索取有关佐证材料。</w:t>
      </w:r>
    </w:p>
    <w:p w14:paraId="5A7C0EBC">
      <w:pPr>
        <w:pStyle w:val="2"/>
        <w:keepNext w:val="0"/>
        <w:keepLines w:val="0"/>
        <w:widowControl/>
        <w:suppressLineNumbers w:val="0"/>
        <w:spacing w:before="0" w:beforeAutospacing="0" w:after="0" w:afterAutospacing="0" w:line="570" w:lineRule="atLeast"/>
        <w:ind w:left="0" w:firstLine="640"/>
      </w:pPr>
      <w:r>
        <w:rPr>
          <w:b/>
          <w:bCs/>
        </w:rPr>
        <w:t>4.</w:t>
      </w:r>
      <w:r>
        <w:rPr>
          <w:rFonts w:hint="eastAsia" w:ascii="仿宋_GB2312" w:eastAsia="仿宋_GB2312" w:cs="仿宋_GB2312"/>
          <w:b/>
          <w:bCs/>
        </w:rPr>
        <w:t>其他调查方式。</w:t>
      </w:r>
      <w:r>
        <w:rPr>
          <w:rFonts w:hint="eastAsia" w:ascii="仿宋_GB2312" w:eastAsia="仿宋_GB2312" w:cs="仿宋_GB2312"/>
        </w:rPr>
        <w:t>发生重大突发事件时，前款规定的入户调查、邻里访问程序可以采取电话、视频等非接触方式进行。</w:t>
      </w:r>
    </w:p>
    <w:p w14:paraId="7CF8D1A7">
      <w:pPr>
        <w:pStyle w:val="2"/>
        <w:keepNext w:val="0"/>
        <w:keepLines w:val="0"/>
        <w:widowControl/>
        <w:suppressLineNumbers w:val="0"/>
        <w:spacing w:before="0" w:beforeAutospacing="0" w:after="0" w:afterAutospacing="0" w:line="570" w:lineRule="atLeast"/>
        <w:ind w:left="0" w:firstLine="640"/>
      </w:pPr>
      <w:r>
        <w:rPr>
          <w:b/>
          <w:bCs/>
        </w:rPr>
        <w:t>5.</w:t>
      </w:r>
      <w:r>
        <w:rPr>
          <w:rFonts w:hint="eastAsia" w:ascii="仿宋_GB2312" w:eastAsia="仿宋_GB2312" w:cs="仿宋_GB2312"/>
          <w:b/>
          <w:bCs/>
        </w:rPr>
        <w:t>家庭经济状况信息核对。</w:t>
      </w:r>
      <w:r>
        <w:rPr>
          <w:rFonts w:hint="eastAsia" w:ascii="仿宋_GB2312" w:eastAsia="仿宋_GB2312" w:cs="仿宋_GB2312"/>
        </w:rPr>
        <w:t>旗民政部门应当在收到苏木乡镇街道人民政府（管理办）、大兴农场对家庭经济状况进行信息核对提请后</w:t>
      </w:r>
      <w:r>
        <w:t>3</w:t>
      </w:r>
      <w:r>
        <w:rPr>
          <w:rFonts w:hint="eastAsia" w:ascii="仿宋_GB2312" w:eastAsia="仿宋_GB2312" w:cs="仿宋_GB2312"/>
        </w:rPr>
        <w:t>个工作日内启动信息核对程序，根据工作需要，依法依规查询共同生活家庭成员的户籍、纳税记录、社会保险交纳、不动产登记、市场主体登记、住房公积金交纳、车船登记以及银行存款、商业保险、证券、互联网金融资产等信息。</w:t>
      </w:r>
    </w:p>
    <w:p w14:paraId="7C19D5ED">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苏木乡镇街道人民政府（管理办）、大兴农场可以根据本地区实际情况，通过家庭用水、用电、燃气、通讯等日常生活费用支出以及是否存在高收费学校就读（含入托、出国留学）、出国旅游等情况，对家庭经济状况进行辅助评估。</w:t>
      </w:r>
    </w:p>
    <w:p w14:paraId="63A181C5">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经家庭经济状况信息核对，不符合条件的最低生活保障申请，苏木乡镇街道人民政府（管理办）、大兴农场应当及时告知申请人。申请人有异议的，应当提供相关佐证材料；苏木乡镇街道人民政府（管理办）、大兴农场应当组织开展复查。</w:t>
      </w:r>
    </w:p>
    <w:p w14:paraId="11BDCACB">
      <w:pPr>
        <w:pStyle w:val="2"/>
        <w:keepNext w:val="0"/>
        <w:keepLines w:val="0"/>
        <w:widowControl/>
        <w:suppressLineNumbers w:val="0"/>
        <w:spacing w:before="0" w:beforeAutospacing="0" w:after="0" w:afterAutospacing="0" w:line="570" w:lineRule="atLeast"/>
        <w:ind w:left="0" w:firstLine="640"/>
      </w:pPr>
      <w:r>
        <w:rPr>
          <w:rFonts w:hint="eastAsia" w:ascii="黑体" w:hAnsi="宋体" w:eastAsia="黑体" w:cs="黑体"/>
        </w:rPr>
        <w:t>六、公示</w:t>
      </w:r>
    </w:p>
    <w:p w14:paraId="4607C37A">
      <w:pPr>
        <w:pStyle w:val="2"/>
        <w:keepNext w:val="0"/>
        <w:keepLines w:val="0"/>
        <w:widowControl/>
        <w:suppressLineNumbers w:val="0"/>
        <w:spacing w:before="0" w:beforeAutospacing="0" w:after="0" w:afterAutospacing="0" w:line="570" w:lineRule="atLeast"/>
        <w:ind w:left="0" w:firstLine="640"/>
      </w:pPr>
      <w:r>
        <w:rPr>
          <w:rFonts w:hint="eastAsia" w:ascii="楷体_GB2312" w:eastAsia="楷体_GB2312" w:cs="楷体_GB2312"/>
          <w:b/>
          <w:bCs/>
        </w:rPr>
        <w:t>（一）公示要求</w:t>
      </w:r>
    </w:p>
    <w:p w14:paraId="6F447C73">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苏木乡镇街道人民政府（管理办）、大兴农场应当根据家庭经济状况调查核实情况，提出初审意见，并在申请家庭所在嘎查村、社区进行公示。公示期为</w:t>
      </w:r>
      <w:r>
        <w:t>7</w:t>
      </w:r>
      <w:r>
        <w:rPr>
          <w:rFonts w:hint="eastAsia" w:ascii="仿宋_GB2312" w:eastAsia="仿宋_GB2312" w:cs="仿宋_GB2312"/>
        </w:rPr>
        <w:t>天。公示期满无异议的，应及时予以批准。旗民政部门对在享社会救助对象通过门户网站、蒙速办</w:t>
      </w:r>
      <w:r>
        <w:t>APP</w:t>
      </w:r>
      <w:r>
        <w:rPr>
          <w:rFonts w:hint="eastAsia" w:ascii="仿宋_GB2312" w:eastAsia="仿宋_GB2312" w:cs="仿宋_GB2312"/>
        </w:rPr>
        <w:t>、社会救助微服务平台等进行长期公示，加大政策知晓度，确保政策操作规范运行。</w:t>
      </w:r>
    </w:p>
    <w:p w14:paraId="371A7DD7">
      <w:pPr>
        <w:pStyle w:val="2"/>
        <w:keepNext w:val="0"/>
        <w:keepLines w:val="0"/>
        <w:widowControl/>
        <w:suppressLineNumbers w:val="0"/>
        <w:spacing w:before="0" w:beforeAutospacing="0" w:after="0" w:afterAutospacing="0" w:line="570" w:lineRule="atLeast"/>
        <w:ind w:left="0" w:firstLine="640"/>
      </w:pPr>
      <w:r>
        <w:rPr>
          <w:rFonts w:hint="eastAsia" w:ascii="楷体_GB2312" w:eastAsia="楷体_GB2312" w:cs="楷体_GB2312"/>
          <w:b/>
          <w:bCs/>
        </w:rPr>
        <w:t>（二）公示内容</w:t>
      </w:r>
    </w:p>
    <w:p w14:paraId="5DC2535C">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要按照《中华人民共和国个人信息保护法》等有关法律法规规定，做好救助对象个人信息公开公示工作和个人信息保护，不得公示申请人姓名、家庭成员数量、保障金额、所在地以外的其他信息，不得公示未成年人有关信息。</w:t>
      </w:r>
    </w:p>
    <w:p w14:paraId="219C3BF2">
      <w:pPr>
        <w:pStyle w:val="2"/>
        <w:keepNext w:val="0"/>
        <w:keepLines w:val="0"/>
        <w:widowControl/>
        <w:suppressLineNumbers w:val="0"/>
        <w:spacing w:before="0" w:beforeAutospacing="0" w:after="0" w:afterAutospacing="0" w:line="570" w:lineRule="atLeast"/>
        <w:ind w:left="0" w:firstLine="640"/>
      </w:pPr>
      <w:r>
        <w:rPr>
          <w:rFonts w:hint="eastAsia" w:ascii="黑体" w:hAnsi="宋体" w:eastAsia="黑体" w:cs="黑体"/>
        </w:rPr>
        <w:t>七、民主评议</w:t>
      </w:r>
    </w:p>
    <w:p w14:paraId="26CBCD40">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优化最低生活保障审核程序，对没有争议的救助申请家庭，可不再进行民主评议。有争议、旗人民政府政策文件规定需要评议的，按以下程序进行民主评议：</w:t>
      </w:r>
    </w:p>
    <w:p w14:paraId="4429634E">
      <w:pPr>
        <w:pStyle w:val="2"/>
        <w:keepNext w:val="0"/>
        <w:keepLines w:val="0"/>
        <w:widowControl/>
        <w:suppressLineNumbers w:val="0"/>
        <w:spacing w:before="0" w:beforeAutospacing="0" w:after="0" w:afterAutospacing="0" w:line="570" w:lineRule="atLeast"/>
        <w:ind w:left="0" w:firstLine="640"/>
      </w:pPr>
      <w:r>
        <w:t>1.</w:t>
      </w:r>
      <w:r>
        <w:rPr>
          <w:rFonts w:hint="eastAsia" w:ascii="仿宋_GB2312" w:eastAsia="仿宋_GB2312" w:cs="仿宋_GB2312"/>
        </w:rPr>
        <w:t>民主评议以嘎查村（居）民委员会为单位，由苏木乡镇街道人民政府（管理办）、大兴农场民政部门组织进行，评委由苏木乡镇街道人民政府（管理办）、大兴农场、嘎查村（居）党组织和嘎查村（居）委会成员、熟悉嘎查村（居）居民情况的党员代表、嘎查村（居）民代表等人员组成。民主评议工作由旗民政部门和苏木乡镇街道人民政府（管理办）、大兴农场负责指导和监督。</w:t>
      </w:r>
    </w:p>
    <w:p w14:paraId="20F27986">
      <w:pPr>
        <w:pStyle w:val="2"/>
        <w:keepNext w:val="0"/>
        <w:keepLines w:val="0"/>
        <w:widowControl/>
        <w:suppressLineNumbers w:val="0"/>
        <w:spacing w:before="0" w:beforeAutospacing="0" w:after="0" w:afterAutospacing="0" w:line="570" w:lineRule="atLeast"/>
        <w:ind w:left="0" w:firstLine="640"/>
      </w:pPr>
      <w:r>
        <w:t>2.</w:t>
      </w:r>
      <w:r>
        <w:rPr>
          <w:rFonts w:hint="eastAsia" w:ascii="仿宋_GB2312" w:eastAsia="仿宋_GB2312" w:cs="仿宋_GB2312"/>
        </w:rPr>
        <w:t>最低生活保障民主评议的嘎查村（居）民代表产生范围和产生方式，按照《中华人民共和国村民委员会组织法》《中华人民共和国城市居民委员会组织法》和《内蒙古自治区实施〈中华人民共和国村民委员会组织法〉办法》有关规定，选举产生的嘎查村（居）民代表确定为评委，并建立最低生活保障评委库。根据最低生活保障审核领导小组给定的嘎查村（居）民代表人数，以自然村为单位，从最低生活保障评委库中随机抽取参加当次评议的评委。避免苏木乡镇街道人民政府（管理办）、大兴农场或嘎查村（居）民委员会特定嘎查村（居）民代表的做法，最大限度地减少人为因素对最低生活保障民主评议工作的影响。</w:t>
      </w:r>
    </w:p>
    <w:p w14:paraId="64DA70DC">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参加最低生活保障民主评议的人数中嘎查村（居）民代表人数应占总人数的三分之二以上。</w:t>
      </w:r>
    </w:p>
    <w:p w14:paraId="428CA206">
      <w:pPr>
        <w:pStyle w:val="2"/>
        <w:keepNext w:val="0"/>
        <w:keepLines w:val="0"/>
        <w:widowControl/>
        <w:suppressLineNumbers w:val="0"/>
        <w:spacing w:before="0" w:beforeAutospacing="0" w:after="0" w:afterAutospacing="0" w:line="570" w:lineRule="atLeast"/>
        <w:ind w:left="0" w:firstLine="640"/>
      </w:pPr>
      <w:r>
        <w:t>3.</w:t>
      </w:r>
      <w:r>
        <w:rPr>
          <w:rFonts w:hint="eastAsia" w:ascii="仿宋_GB2312" w:eastAsia="仿宋_GB2312" w:cs="仿宋_GB2312"/>
        </w:rPr>
        <w:t>民主评议对申请人家庭经济状况调查的客观性、真实性进行评议，评议结束后，应当形成详细、完整的评议记录，评议结果需由所有参加评议人员签字确认。</w:t>
      </w:r>
    </w:p>
    <w:p w14:paraId="1B717E0B">
      <w:pPr>
        <w:pStyle w:val="2"/>
        <w:keepNext w:val="0"/>
        <w:keepLines w:val="0"/>
        <w:widowControl/>
        <w:suppressLineNumbers w:val="0"/>
        <w:spacing w:before="0" w:beforeAutospacing="0" w:after="0" w:afterAutospacing="0" w:line="570" w:lineRule="atLeast"/>
        <w:ind w:left="0" w:firstLine="640"/>
      </w:pPr>
      <w:r>
        <w:rPr>
          <w:rFonts w:hint="eastAsia" w:ascii="黑体" w:hAnsi="宋体" w:eastAsia="黑体" w:cs="黑体"/>
        </w:rPr>
        <w:t>八、审核确认</w:t>
      </w:r>
    </w:p>
    <w:p w14:paraId="1D03B6FC">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苏木乡镇街道人民政府（管理办）、大兴农场应当自收到申请人提交的申请材料，并结合家庭经济状况调查核实结果和初审情况，提出审核确认意见。对单独登记备案或者在审核确认阶段接到投诉、举报的最低生活保障申请，苏木乡镇街道人民政府（管理办）、大兴农场应当入户调查。</w:t>
      </w:r>
    </w:p>
    <w:p w14:paraId="56F465EE">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苏木乡镇街道人民政府（管理办）、大兴农场经审核，对符合条件的申请予以确认同意，同时确定救助金额，发放批准告知书，并从作出确认同意决定之日下月起发放最低生活保障金。对不符合条件的申请不予确认同意，并应当在作出决定</w:t>
      </w:r>
      <w:r>
        <w:t>3</w:t>
      </w:r>
      <w:r>
        <w:rPr>
          <w:rFonts w:hint="eastAsia" w:ascii="仿宋_GB2312" w:eastAsia="仿宋_GB2312" w:cs="仿宋_GB2312"/>
        </w:rPr>
        <w:t>个工作日内，书面告知申请人并说明理由。</w:t>
      </w:r>
    </w:p>
    <w:p w14:paraId="010AA3F3">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按照优化社会救助领域营商环境工作要求，最低生活保障审核确认工作应当自受理之日起</w:t>
      </w:r>
      <w:r>
        <w:t>20</w:t>
      </w:r>
      <w:r>
        <w:rPr>
          <w:rFonts w:hint="eastAsia" w:ascii="仿宋_GB2312" w:eastAsia="仿宋_GB2312" w:cs="仿宋_GB2312"/>
        </w:rPr>
        <w:t>个工作日之内完成；特殊情况下，可以延长至</w:t>
      </w:r>
      <w:r>
        <w:t>45</w:t>
      </w:r>
      <w:r>
        <w:rPr>
          <w:rFonts w:hint="eastAsia" w:ascii="仿宋_GB2312" w:eastAsia="仿宋_GB2312" w:cs="仿宋_GB2312"/>
        </w:rPr>
        <w:t>个工作日。</w:t>
      </w:r>
    </w:p>
    <w:p w14:paraId="233F5C81">
      <w:pPr>
        <w:pStyle w:val="2"/>
        <w:keepNext w:val="0"/>
        <w:keepLines w:val="0"/>
        <w:widowControl/>
        <w:suppressLineNumbers w:val="0"/>
        <w:spacing w:before="0" w:beforeAutospacing="0" w:after="0" w:afterAutospacing="0" w:line="570" w:lineRule="atLeast"/>
        <w:ind w:left="0" w:firstLine="640"/>
      </w:pPr>
      <w:r>
        <w:rPr>
          <w:rFonts w:hint="eastAsia" w:ascii="黑体" w:hAnsi="宋体" w:eastAsia="黑体" w:cs="黑体"/>
        </w:rPr>
        <w:t>九、资金发放</w:t>
      </w:r>
    </w:p>
    <w:p w14:paraId="46A42B1B">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最低生活保障金原则上实行社会化发放，通过银行、信用社等代理金融机构，每月</w:t>
      </w:r>
      <w:r>
        <w:t>10</w:t>
      </w:r>
      <w:r>
        <w:rPr>
          <w:rFonts w:hint="eastAsia" w:ascii="仿宋_GB2312" w:eastAsia="仿宋_GB2312" w:cs="仿宋_GB2312"/>
        </w:rPr>
        <w:t>日前支付到最低生活保障家庭的账户。</w:t>
      </w:r>
    </w:p>
    <w:p w14:paraId="2CF8295A">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苏木乡镇街道人民政府（管理办）、大兴农场或者嘎查村（居）民委员会相关工作人员代为保管用于领取最低生活保障金的银行存折或银行卡的，应当与最低生活保障家庭成员签订书面协议并报旗民政部门备案。</w:t>
      </w:r>
    </w:p>
    <w:p w14:paraId="64B760E7">
      <w:pPr>
        <w:pStyle w:val="2"/>
        <w:keepNext w:val="0"/>
        <w:keepLines w:val="0"/>
        <w:widowControl/>
        <w:suppressLineNumbers w:val="0"/>
        <w:spacing w:before="0" w:beforeAutospacing="0" w:after="0" w:afterAutospacing="0" w:line="570" w:lineRule="atLeast"/>
        <w:ind w:left="0" w:firstLine="640"/>
      </w:pPr>
      <w:r>
        <w:rPr>
          <w:rFonts w:hint="eastAsia" w:ascii="黑体" w:hAnsi="宋体" w:eastAsia="黑体" w:cs="黑体"/>
        </w:rPr>
        <w:t>十、动态管理</w:t>
      </w:r>
    </w:p>
    <w:p w14:paraId="5CAFADD4">
      <w:pPr>
        <w:pStyle w:val="2"/>
        <w:keepNext w:val="0"/>
        <w:keepLines w:val="0"/>
        <w:widowControl/>
        <w:suppressLineNumbers w:val="0"/>
        <w:spacing w:before="0" w:beforeAutospacing="0" w:after="0" w:afterAutospacing="0" w:line="570" w:lineRule="atLeast"/>
        <w:ind w:left="0" w:firstLine="640"/>
      </w:pPr>
      <w:r>
        <w:rPr>
          <w:rFonts w:hint="eastAsia" w:ascii="楷体_GB2312" w:eastAsia="楷体_GB2312" w:cs="楷体_GB2312"/>
          <w:b/>
          <w:bCs/>
        </w:rPr>
        <w:t>定期报告：</w:t>
      </w:r>
      <w:r>
        <w:rPr>
          <w:rFonts w:hint="eastAsia" w:ascii="仿宋_GB2312" w:eastAsia="仿宋_GB2312" w:cs="仿宋_GB2312"/>
        </w:rPr>
        <w:t>最低生活保障对象应在报告期内主动向苏木乡镇街道人民政府（管理办）、大兴农场报告家庭人口、收入、财产变动及家庭成员从业变动等情况。定期报告通过最低生活保障对象现场签到方式或人脸识别等信息化手段完成，因特殊合理原因不能现场签到的，可采取影像采集等信息化手段完成。最低生活保障对象中的未成年人、重病患者、重度残疾人（含智力、精神残疾</w:t>
      </w:r>
      <w:r>
        <w:t>3</w:t>
      </w:r>
      <w:r>
        <w:rPr>
          <w:rFonts w:hint="eastAsia" w:ascii="仿宋_GB2312" w:eastAsia="仿宋_GB2312" w:cs="仿宋_GB2312"/>
        </w:rPr>
        <w:t>级）、老年人等特殊对象可采取由苏木乡镇街道人民政府（管理办）、大兴农场人员上门采集信息等方式进行定期报告。</w:t>
      </w:r>
    </w:p>
    <w:p w14:paraId="3BE09CBC">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最低生活保障家庭的人口、收入和财产状况发生重大变化超过</w:t>
      </w:r>
      <w:r>
        <w:t>3</w:t>
      </w:r>
      <w:r>
        <w:rPr>
          <w:rFonts w:hint="eastAsia" w:ascii="仿宋_GB2312" w:eastAsia="仿宋_GB2312" w:cs="仿宋_GB2312"/>
        </w:rPr>
        <w:t>个月未主动告知的，旗民政部门或者苏木乡镇街道人民政府（管理办）、大兴农场可以进行批评教育。对于发现不符合条件的，要立即停止发放最低生活保障金；对采取虚报、隐瞒、伪造等手段骗取最低生活保障待遇的，及时退出保障范围，责令退回非法获取的最低生活保障金，并依法追究法律责任。</w:t>
      </w:r>
    </w:p>
    <w:p w14:paraId="3C851EF4">
      <w:pPr>
        <w:pStyle w:val="2"/>
        <w:keepNext w:val="0"/>
        <w:keepLines w:val="0"/>
        <w:widowControl/>
        <w:suppressLineNumbers w:val="0"/>
        <w:spacing w:before="0" w:beforeAutospacing="0" w:after="0" w:afterAutospacing="0" w:line="570" w:lineRule="atLeast"/>
        <w:ind w:left="0" w:firstLine="640"/>
      </w:pPr>
      <w:r>
        <w:rPr>
          <w:rFonts w:hint="eastAsia" w:ascii="楷体_GB2312" w:eastAsia="楷体_GB2312" w:cs="楷体_GB2312"/>
          <w:b/>
          <w:bCs/>
        </w:rPr>
        <w:t>定期核查：</w:t>
      </w:r>
      <w:r>
        <w:rPr>
          <w:rFonts w:hint="eastAsia" w:ascii="仿宋_GB2312" w:eastAsia="仿宋_GB2312" w:cs="仿宋_GB2312"/>
        </w:rPr>
        <w:t>苏木乡镇街道人民政府（管理办）、大兴农场应当对最低生活保障家庭的经济状况定期核查，并根据核查情况及时办理最低生活保障金增发、减发、停发手续。苏木乡镇街道人民政府（管理办）、大兴农场作出增发、减发、停发最低生活保障金决定，应当符合法定事由和规定程序；决定减发、停发最低生活保障金的，应当告知最低生活保障家庭成员并说明理由。</w:t>
      </w:r>
    </w:p>
    <w:p w14:paraId="40B5528A">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对短期内经济状况变化不大的最低生活保障家庭，苏木乡镇街道人民政府（管理办）、大兴农场每年核查一次；对收入来源不固定、家庭成员有劳动能力的最低生活保障家庭，每半年核查一次。核查期内最低生活保障家庭的经济状况没有明显变化的，不再调整最低生活保障金额度。发生重大突发事件时，前款规定的核查期限可以适当延长。</w:t>
      </w:r>
    </w:p>
    <w:p w14:paraId="5A41325E">
      <w:pPr>
        <w:pStyle w:val="2"/>
        <w:keepNext w:val="0"/>
        <w:keepLines w:val="0"/>
        <w:widowControl/>
        <w:suppressLineNumbers w:val="0"/>
        <w:spacing w:before="0" w:beforeAutospacing="0" w:after="0" w:afterAutospacing="0" w:line="570" w:lineRule="atLeast"/>
        <w:ind w:left="0" w:firstLine="640"/>
      </w:pPr>
      <w:r>
        <w:rPr>
          <w:rFonts w:hint="eastAsia" w:ascii="楷体_GB2312" w:eastAsia="楷体_GB2312" w:cs="楷体_GB2312"/>
          <w:b/>
          <w:bCs/>
        </w:rPr>
        <w:t>调整机制：</w:t>
      </w:r>
      <w:r>
        <w:rPr>
          <w:rFonts w:hint="eastAsia" w:ascii="仿宋_GB2312" w:eastAsia="仿宋_GB2312" w:cs="仿宋_GB2312"/>
        </w:rPr>
        <w:t>对于动态管理期内人员状况、家庭收入、家庭财产等发生变化（如家庭成员死亡、收入超标、财产增加等原因），审核确认主管部门作出增发、减发、停发最低生活保障金决定的，应当符合法定事由和规定程序；决定减发、停发最低生活保障金的，应当告知最低生活保障家庭成员并说明理由。</w:t>
      </w:r>
    </w:p>
    <w:p w14:paraId="0824F6DB">
      <w:pPr>
        <w:pStyle w:val="2"/>
        <w:keepNext w:val="0"/>
        <w:keepLines w:val="0"/>
        <w:widowControl/>
        <w:suppressLineNumbers w:val="0"/>
        <w:spacing w:before="0" w:beforeAutospacing="0" w:after="0" w:afterAutospacing="0" w:line="570" w:lineRule="atLeast"/>
        <w:ind w:left="0" w:firstLine="640"/>
      </w:pPr>
      <w:r>
        <w:rPr>
          <w:rFonts w:hint="eastAsia" w:ascii="黑体" w:hAnsi="宋体" w:eastAsia="黑体" w:cs="黑体"/>
        </w:rPr>
        <w:t>十一、渐退帮扶</w:t>
      </w:r>
    </w:p>
    <w:p w14:paraId="31AB4C98">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鼓励具备就业能力的最低生活保障家庭成员积极就业。对就业后家庭人均收入超过当地最低生活保障标准的最低生活保障家庭，苏木乡镇街道人民政府（管理办）、大兴农场可以给予一定时间的渐退期。</w:t>
      </w:r>
    </w:p>
    <w:p w14:paraId="22AA7CBA">
      <w:pPr>
        <w:pStyle w:val="2"/>
        <w:keepNext w:val="0"/>
        <w:keepLines w:val="0"/>
        <w:widowControl/>
        <w:suppressLineNumbers w:val="0"/>
        <w:spacing w:before="0" w:beforeAutospacing="0" w:after="0" w:afterAutospacing="0" w:line="570" w:lineRule="atLeast"/>
        <w:ind w:left="0" w:firstLine="640"/>
      </w:pPr>
      <w:r>
        <w:rPr>
          <w:rFonts w:hint="eastAsia" w:ascii="楷体_GB2312" w:eastAsia="楷体_GB2312" w:cs="楷体_GB2312"/>
          <w:b/>
          <w:bCs/>
        </w:rPr>
        <w:t>（一）渐退工作</w:t>
      </w:r>
    </w:p>
    <w:p w14:paraId="7B38EC8E">
      <w:pPr>
        <w:pStyle w:val="2"/>
        <w:keepNext w:val="0"/>
        <w:keepLines w:val="0"/>
        <w:widowControl/>
        <w:suppressLineNumbers w:val="0"/>
        <w:spacing w:before="0" w:beforeAutospacing="0" w:after="0" w:afterAutospacing="0" w:line="570" w:lineRule="atLeast"/>
        <w:ind w:left="0" w:firstLine="640"/>
      </w:pPr>
      <w:r>
        <w:rPr>
          <w:b/>
          <w:bCs/>
        </w:rPr>
        <w:t>1.</w:t>
      </w:r>
      <w:r>
        <w:rPr>
          <w:rFonts w:hint="eastAsia" w:ascii="仿宋_GB2312" w:eastAsia="仿宋_GB2312" w:cs="仿宋_GB2312"/>
          <w:b/>
          <w:bCs/>
        </w:rPr>
        <w:t>对象范围和期限</w:t>
      </w:r>
    </w:p>
    <w:p w14:paraId="7D42CD01">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1</w:t>
      </w:r>
      <w:r>
        <w:rPr>
          <w:rFonts w:hint="eastAsia" w:ascii="仿宋_GB2312" w:eastAsia="仿宋_GB2312" w:cs="仿宋_GB2312"/>
        </w:rPr>
        <w:t>）家庭成员通过灵活就业、外出务工、自主创业等方式实现就业且家庭人均收入超过当地最低生活保障标准的最低生活保障家庭给予不超过</w:t>
      </w:r>
      <w:r>
        <w:t>6</w:t>
      </w:r>
      <w:r>
        <w:rPr>
          <w:rFonts w:hint="eastAsia" w:ascii="仿宋_GB2312" w:eastAsia="仿宋_GB2312" w:cs="仿宋_GB2312"/>
        </w:rPr>
        <w:t>个月的渐退期；</w:t>
      </w:r>
    </w:p>
    <w:p w14:paraId="3B95A610">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2</w:t>
      </w:r>
      <w:r>
        <w:rPr>
          <w:rFonts w:hint="eastAsia" w:ascii="仿宋_GB2312" w:eastAsia="仿宋_GB2312" w:cs="仿宋_GB2312"/>
        </w:rPr>
        <w:t>）脱贫人口中通过产业帮扶、股息分红等方式实现增收且家庭人均收入超过当地最低生活保障标准的最低生活保障家庭给予</w:t>
      </w:r>
      <w:r>
        <w:t>6-12</w:t>
      </w:r>
      <w:r>
        <w:rPr>
          <w:rFonts w:hint="eastAsia" w:ascii="仿宋_GB2312" w:eastAsia="仿宋_GB2312" w:cs="仿宋_GB2312"/>
        </w:rPr>
        <w:t>个月渐退期；</w:t>
      </w:r>
    </w:p>
    <w:p w14:paraId="74BD183B">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3</w:t>
      </w:r>
      <w:r>
        <w:rPr>
          <w:rFonts w:hint="eastAsia" w:ascii="仿宋_GB2312" w:eastAsia="仿宋_GB2312" w:cs="仿宋_GB2312"/>
        </w:rPr>
        <w:t>）最低生活保障家庭成员死亡后，应当自其死亡之日起</w:t>
      </w:r>
      <w:r>
        <w:t>3</w:t>
      </w:r>
      <w:r>
        <w:rPr>
          <w:rFonts w:hint="eastAsia" w:ascii="仿宋_GB2312" w:eastAsia="仿宋_GB2312" w:cs="仿宋_GB2312"/>
        </w:rPr>
        <w:t>个月内对其家庭状况进行核查，并办理完成最低生活保障金增发、减发、停发等相关手续；</w:t>
      </w:r>
    </w:p>
    <w:p w14:paraId="06BDB042">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4</w:t>
      </w:r>
      <w:r>
        <w:rPr>
          <w:rFonts w:hint="eastAsia" w:ascii="仿宋_GB2312" w:eastAsia="仿宋_GB2312" w:cs="仿宋_GB2312"/>
        </w:rPr>
        <w:t>）不纳入最低生活保障渐退政策的情形：自愿退出；征地补偿等家庭经济状况发生重大变化且家庭人均收入超过最低生活保障标准的；瞒报、虚报、谎报重要家庭财产和收入事项的；旗民政部门确定的其他情形。</w:t>
      </w:r>
    </w:p>
    <w:p w14:paraId="0E506DB3">
      <w:pPr>
        <w:pStyle w:val="2"/>
        <w:keepNext w:val="0"/>
        <w:keepLines w:val="0"/>
        <w:widowControl/>
        <w:suppressLineNumbers w:val="0"/>
        <w:spacing w:before="0" w:beforeAutospacing="0" w:after="0" w:afterAutospacing="0" w:line="570" w:lineRule="atLeast"/>
        <w:ind w:left="0" w:firstLine="640"/>
      </w:pPr>
      <w:r>
        <w:rPr>
          <w:b/>
          <w:bCs/>
        </w:rPr>
        <w:t>2.</w:t>
      </w:r>
      <w:r>
        <w:rPr>
          <w:rFonts w:hint="eastAsia" w:ascii="仿宋_GB2312" w:eastAsia="仿宋_GB2312" w:cs="仿宋_GB2312"/>
          <w:b/>
          <w:bCs/>
        </w:rPr>
        <w:t>工作程序和要求</w:t>
      </w:r>
    </w:p>
    <w:p w14:paraId="06FD490A">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1</w:t>
      </w:r>
      <w:r>
        <w:rPr>
          <w:rFonts w:hint="eastAsia" w:ascii="仿宋_GB2312" w:eastAsia="仿宋_GB2312" w:cs="仿宋_GB2312"/>
        </w:rPr>
        <w:t>）苏木乡镇街道人民政府（管理办）、大兴农场应当至少每季度对在享最低生活保障对象开展一次家庭经济状况核查。</w:t>
      </w:r>
    </w:p>
    <w:p w14:paraId="7723DB37">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2</w:t>
      </w:r>
      <w:r>
        <w:rPr>
          <w:rFonts w:hint="eastAsia" w:ascii="仿宋_GB2312" w:eastAsia="仿宋_GB2312" w:cs="仿宋_GB2312"/>
        </w:rPr>
        <w:t>）对家庭人均收入超过当地最低生活保障标准符合渐退条件的家庭要及时启动渐退程序并发放渐退告知书。</w:t>
      </w:r>
    </w:p>
    <w:p w14:paraId="43832DF8">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3</w:t>
      </w:r>
      <w:r>
        <w:rPr>
          <w:rFonts w:hint="eastAsia" w:ascii="仿宋_GB2312" w:eastAsia="仿宋_GB2312" w:cs="仿宋_GB2312"/>
        </w:rPr>
        <w:t>）渐退告知书包含最低生活保障对象信息、渐退起止日期和期限、渐退期间最低生活保障金发放标准等要素。渐退期限起始时间从核定家庭人均收入超标的下月起计算，最低生活保障金发放标准应调整为最低标准，即</w:t>
      </w:r>
      <w:r>
        <w:t>C</w:t>
      </w:r>
      <w:r>
        <w:rPr>
          <w:rFonts w:hint="eastAsia" w:ascii="仿宋_GB2312" w:eastAsia="仿宋_GB2312" w:cs="仿宋_GB2312"/>
        </w:rPr>
        <w:t>类标准。</w:t>
      </w:r>
    </w:p>
    <w:p w14:paraId="287C0F6C">
      <w:pPr>
        <w:pStyle w:val="2"/>
        <w:keepNext w:val="0"/>
        <w:keepLines w:val="0"/>
        <w:widowControl/>
        <w:suppressLineNumbers w:val="0"/>
        <w:spacing w:before="0" w:beforeAutospacing="0" w:after="0" w:afterAutospacing="0" w:line="570" w:lineRule="atLeast"/>
        <w:ind w:left="0" w:firstLine="640"/>
      </w:pPr>
      <w:r>
        <w:rPr>
          <w:b/>
          <w:bCs/>
        </w:rPr>
        <w:t>3.</w:t>
      </w:r>
      <w:r>
        <w:rPr>
          <w:rFonts w:hint="eastAsia" w:ascii="仿宋_GB2312" w:eastAsia="仿宋_GB2312" w:cs="仿宋_GB2312"/>
          <w:b/>
          <w:bCs/>
        </w:rPr>
        <w:t>渐退期满后的管理</w:t>
      </w:r>
    </w:p>
    <w:p w14:paraId="74AA4182">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渐退期满前</w:t>
      </w:r>
      <w:r>
        <w:t>1</w:t>
      </w:r>
      <w:r>
        <w:rPr>
          <w:rFonts w:hint="eastAsia" w:ascii="仿宋_GB2312" w:eastAsia="仿宋_GB2312" w:cs="仿宋_GB2312"/>
        </w:rPr>
        <w:t>个月，苏木乡镇街道人民政府（管理办）、大兴农场应重新对渐退对象的家庭收入和财产进行核查。</w:t>
      </w:r>
    </w:p>
    <w:p w14:paraId="66A11F3D">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1</w:t>
      </w:r>
      <w:r>
        <w:rPr>
          <w:rFonts w:hint="eastAsia" w:ascii="仿宋_GB2312" w:eastAsia="仿宋_GB2312" w:cs="仿宋_GB2312"/>
        </w:rPr>
        <w:t>）对家庭人均收入超过最低生活保障标准</w:t>
      </w:r>
      <w:r>
        <w:t>1.5</w:t>
      </w:r>
      <w:r>
        <w:rPr>
          <w:rFonts w:hint="eastAsia" w:ascii="仿宋_GB2312" w:eastAsia="仿宋_GB2312" w:cs="仿宋_GB2312"/>
        </w:rPr>
        <w:t>倍的，取消保障待遇，从渐退期满下月起停发最低生活保障金并发放渐退期满告知书。</w:t>
      </w:r>
    </w:p>
    <w:p w14:paraId="118B5EB8">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2</w:t>
      </w:r>
      <w:r>
        <w:rPr>
          <w:rFonts w:hint="eastAsia" w:ascii="仿宋_GB2312" w:eastAsia="仿宋_GB2312" w:cs="仿宋_GB2312"/>
        </w:rPr>
        <w:t>）对家庭人均收入不超过最低生活保障标准</w:t>
      </w:r>
      <w:r>
        <w:t>1.5</w:t>
      </w:r>
      <w:r>
        <w:rPr>
          <w:rFonts w:hint="eastAsia" w:ascii="仿宋_GB2312" w:eastAsia="仿宋_GB2312" w:cs="仿宋_GB2312"/>
        </w:rPr>
        <w:t>倍的，纳入低收入人口动态监测。家庭成员有重病、重残等特殊困难情形且符合单人保条件的，经当事人申请可直接参照单人户纳入最低生活保障范围，其他家庭成员取消保障待遇，从渐退期满下月起停发最低生活保障金并发放渐退期满告知书。</w:t>
      </w:r>
    </w:p>
    <w:p w14:paraId="6A280FF6">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w:t>
      </w:r>
      <w:r>
        <w:t>3</w:t>
      </w:r>
      <w:r>
        <w:rPr>
          <w:rFonts w:hint="eastAsia" w:ascii="仿宋_GB2312" w:eastAsia="仿宋_GB2312" w:cs="仿宋_GB2312"/>
        </w:rPr>
        <w:t>）对家庭人均收入重新符合最低生活保障条件的，转为正常保障并发放渐退期满告知书。</w:t>
      </w:r>
    </w:p>
    <w:p w14:paraId="3B89DDB4">
      <w:pPr>
        <w:pStyle w:val="2"/>
        <w:keepNext w:val="0"/>
        <w:keepLines w:val="0"/>
        <w:widowControl/>
        <w:suppressLineNumbers w:val="0"/>
        <w:spacing w:before="0" w:beforeAutospacing="0" w:after="0" w:afterAutospacing="0" w:line="570" w:lineRule="atLeast"/>
        <w:ind w:left="0" w:firstLine="640"/>
      </w:pPr>
      <w:r>
        <w:rPr>
          <w:rFonts w:hint="eastAsia" w:ascii="楷体_GB2312" w:eastAsia="楷体_GB2312" w:cs="楷体_GB2312"/>
          <w:b/>
          <w:bCs/>
        </w:rPr>
        <w:t>（二）就业帮扶</w:t>
      </w:r>
    </w:p>
    <w:p w14:paraId="65239AA4">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最低生活保障家庭中有就业能力但未就业的成员，应当接受人社等有关部门介绍的工作；无正当理由，连续</w:t>
      </w:r>
      <w:r>
        <w:t>3</w:t>
      </w:r>
      <w:r>
        <w:rPr>
          <w:rFonts w:hint="eastAsia" w:ascii="仿宋_GB2312" w:eastAsia="仿宋_GB2312" w:cs="仿宋_GB2312"/>
        </w:rPr>
        <w:t>次拒绝接受介绍的与其健康状况、劳动能力等相适应的工作的，苏木乡镇街道人民政府（管理办）、大兴农场应当决定减发或者停发其本人的最低生活保障金。</w:t>
      </w:r>
    </w:p>
    <w:p w14:paraId="38FA64EC">
      <w:pPr>
        <w:pStyle w:val="2"/>
        <w:keepNext w:val="0"/>
        <w:keepLines w:val="0"/>
        <w:widowControl/>
        <w:suppressLineNumbers w:val="0"/>
        <w:spacing w:before="0" w:beforeAutospacing="0" w:after="0" w:afterAutospacing="0" w:line="570" w:lineRule="atLeast"/>
        <w:ind w:left="0" w:firstLine="640"/>
      </w:pPr>
      <w:r>
        <w:rPr>
          <w:rFonts w:hint="eastAsia" w:ascii="黑体" w:hAnsi="宋体" w:eastAsia="黑体" w:cs="黑体"/>
        </w:rPr>
        <w:t>十二、研判机制</w:t>
      </w:r>
    </w:p>
    <w:p w14:paraId="6FA74592">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为加大最低生活保障扩围增效工作力度，切实兜住兜准兜好困难群众基本生活底线，建立最低生活保障研判机制，采取“劳动力系数”等方式核算申请家庭收入，对确实难以就业或者较长时间无法获得收入等家庭实际困难情形，通过采取综合研判的方式，确定是否纳入最低生活保障范围。</w:t>
      </w:r>
    </w:p>
    <w:p w14:paraId="5BDAA4FF">
      <w:pPr>
        <w:pStyle w:val="2"/>
        <w:keepNext w:val="0"/>
        <w:keepLines w:val="0"/>
        <w:widowControl/>
        <w:suppressLineNumbers w:val="0"/>
        <w:spacing w:before="0" w:beforeAutospacing="0" w:after="0" w:afterAutospacing="0" w:line="570" w:lineRule="atLeast"/>
        <w:ind w:left="0" w:firstLine="640"/>
      </w:pPr>
      <w:r>
        <w:rPr>
          <w:rFonts w:hint="eastAsia" w:ascii="楷体_GB2312" w:eastAsia="楷体_GB2312" w:cs="楷体_GB2312"/>
          <w:b/>
          <w:bCs/>
        </w:rPr>
        <w:t>（一）研判情形</w:t>
      </w:r>
    </w:p>
    <w:p w14:paraId="4B91E78E">
      <w:pPr>
        <w:pStyle w:val="2"/>
        <w:keepNext w:val="0"/>
        <w:keepLines w:val="0"/>
        <w:widowControl/>
        <w:suppressLineNumbers w:val="0"/>
        <w:spacing w:before="0" w:beforeAutospacing="0" w:after="0" w:afterAutospacing="0" w:line="570" w:lineRule="atLeast"/>
        <w:ind w:left="0" w:firstLine="640"/>
      </w:pPr>
      <w:r>
        <w:t>1.</w:t>
      </w:r>
      <w:r>
        <w:rPr>
          <w:rFonts w:hint="eastAsia" w:ascii="仿宋_GB2312" w:eastAsia="仿宋_GB2312" w:cs="仿宋_GB2312"/>
        </w:rPr>
        <w:t>因照料重度残疾人、重病患者、失能失智老年人和</w:t>
      </w:r>
      <w:r>
        <w:t>0-3</w:t>
      </w:r>
      <w:r>
        <w:rPr>
          <w:rFonts w:hint="eastAsia" w:ascii="仿宋_GB2312" w:eastAsia="仿宋_GB2312" w:cs="仿宋_GB2312"/>
        </w:rPr>
        <w:t>岁（含）婴幼儿，有劳动能力，但实际无法务工的；</w:t>
      </w:r>
    </w:p>
    <w:p w14:paraId="3D02A8F8">
      <w:pPr>
        <w:pStyle w:val="2"/>
        <w:keepNext w:val="0"/>
        <w:keepLines w:val="0"/>
        <w:widowControl/>
        <w:suppressLineNumbers w:val="0"/>
        <w:spacing w:before="0" w:beforeAutospacing="0" w:after="0" w:afterAutospacing="0" w:line="570" w:lineRule="atLeast"/>
        <w:ind w:left="0" w:firstLine="640"/>
      </w:pPr>
      <w:r>
        <w:t>2.</w:t>
      </w:r>
      <w:r>
        <w:rPr>
          <w:rFonts w:hint="eastAsia" w:ascii="仿宋_GB2312" w:eastAsia="仿宋_GB2312" w:cs="仿宋_GB2312"/>
        </w:rPr>
        <w:t>患有不在慢病、重病认定范围内的疾病，但会导致完全或部分丧失劳动能力，确实难以就业的；</w:t>
      </w:r>
    </w:p>
    <w:p w14:paraId="63E58ABA">
      <w:pPr>
        <w:pStyle w:val="2"/>
        <w:keepNext w:val="0"/>
        <w:keepLines w:val="0"/>
        <w:widowControl/>
        <w:suppressLineNumbers w:val="0"/>
        <w:spacing w:before="0" w:beforeAutospacing="0" w:after="0" w:afterAutospacing="0" w:line="570" w:lineRule="atLeast"/>
        <w:ind w:left="0" w:firstLine="640"/>
      </w:pPr>
      <w:r>
        <w:t>3.</w:t>
      </w:r>
      <w:r>
        <w:rPr>
          <w:rFonts w:hint="eastAsia" w:ascii="仿宋_GB2312" w:eastAsia="仿宋_GB2312" w:cs="仿宋_GB2312"/>
        </w:rPr>
        <w:t>无法提供残疾证、重大疾病证明、医疗费支出等有效材料，但实际生活困难或已丧失劳动能力的；</w:t>
      </w:r>
    </w:p>
    <w:p w14:paraId="4C177D42">
      <w:pPr>
        <w:pStyle w:val="2"/>
        <w:keepNext w:val="0"/>
        <w:keepLines w:val="0"/>
        <w:widowControl/>
        <w:suppressLineNumbers w:val="0"/>
        <w:spacing w:before="0" w:beforeAutospacing="0" w:after="0" w:afterAutospacing="0" w:line="570" w:lineRule="atLeast"/>
        <w:ind w:left="0" w:firstLine="640"/>
      </w:pPr>
      <w:r>
        <w:t>4.</w:t>
      </w:r>
      <w:r>
        <w:rPr>
          <w:rFonts w:hint="eastAsia" w:ascii="仿宋_GB2312" w:eastAsia="仿宋_GB2312" w:cs="仿宋_GB2312"/>
        </w:rPr>
        <w:t>对于地方认定办法中附加的限制性条件、特定职业、特殊身份等情形，按照实际收入和财产状况进行认定；</w:t>
      </w:r>
    </w:p>
    <w:p w14:paraId="33F64FA6">
      <w:pPr>
        <w:pStyle w:val="2"/>
        <w:keepNext w:val="0"/>
        <w:keepLines w:val="0"/>
        <w:widowControl/>
        <w:suppressLineNumbers w:val="0"/>
        <w:spacing w:before="0" w:beforeAutospacing="0" w:after="0" w:afterAutospacing="0" w:line="570" w:lineRule="atLeast"/>
        <w:ind w:left="0" w:firstLine="640"/>
      </w:pPr>
      <w:r>
        <w:t>5.</w:t>
      </w:r>
      <w:r>
        <w:rPr>
          <w:rFonts w:hint="eastAsia" w:ascii="仿宋_GB2312" w:eastAsia="仿宋_GB2312" w:cs="仿宋_GB2312"/>
        </w:rPr>
        <w:t>旗人民政府规定的可以通过综合研判进行认定的其他情形。</w:t>
      </w:r>
    </w:p>
    <w:p w14:paraId="3FEDDE97">
      <w:pPr>
        <w:pStyle w:val="2"/>
        <w:keepNext w:val="0"/>
        <w:keepLines w:val="0"/>
        <w:widowControl/>
        <w:suppressLineNumbers w:val="0"/>
        <w:spacing w:before="0" w:beforeAutospacing="0" w:after="0" w:afterAutospacing="0" w:line="570" w:lineRule="atLeast"/>
        <w:ind w:left="0" w:firstLine="640"/>
      </w:pPr>
      <w:r>
        <w:rPr>
          <w:rFonts w:hint="eastAsia" w:ascii="楷体_GB2312" w:eastAsia="楷体_GB2312" w:cs="楷体_GB2312"/>
          <w:b/>
          <w:bCs/>
        </w:rPr>
        <w:t>（二）研判组织</w:t>
      </w:r>
    </w:p>
    <w:p w14:paraId="068543F3">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因审核确认权限已经下放至苏木乡镇街道人民政府（管理办）、大兴农场，所以不再设立旗级研判认定小组。苏木乡镇街道人民政府（管理办）、大兴农场研判认定小组组长由分管领导担任，组成人员可由纪委监委、民政办、驻村第一书记、嘎查村（居）书记、主任及民政协理员担任，成员必须由</w:t>
      </w:r>
      <w:r>
        <w:t>5</w:t>
      </w:r>
      <w:r>
        <w:rPr>
          <w:rFonts w:hint="eastAsia" w:ascii="仿宋_GB2312" w:eastAsia="仿宋_GB2312" w:cs="仿宋_GB2312"/>
        </w:rPr>
        <w:t>人以上组成，研判认定要形成会议记录，与其他申请材料一并存档。</w:t>
      </w:r>
    </w:p>
    <w:p w14:paraId="21A21525">
      <w:pPr>
        <w:pStyle w:val="2"/>
        <w:keepNext w:val="0"/>
        <w:keepLines w:val="0"/>
        <w:widowControl/>
        <w:suppressLineNumbers w:val="0"/>
        <w:spacing w:before="0" w:beforeAutospacing="0" w:after="0" w:afterAutospacing="0" w:line="570" w:lineRule="atLeast"/>
        <w:ind w:left="0" w:firstLine="640"/>
      </w:pPr>
      <w:r>
        <w:rPr>
          <w:rFonts w:hint="eastAsia" w:ascii="黑体" w:hAnsi="宋体" w:eastAsia="黑体" w:cs="黑体"/>
        </w:rPr>
        <w:t>十三、档案管理</w:t>
      </w:r>
    </w:p>
    <w:p w14:paraId="31C98EB5">
      <w:pPr>
        <w:pStyle w:val="2"/>
        <w:keepNext w:val="0"/>
        <w:keepLines w:val="0"/>
        <w:widowControl/>
        <w:suppressLineNumbers w:val="0"/>
        <w:spacing w:before="0" w:beforeAutospacing="0" w:after="0" w:afterAutospacing="0" w:line="570" w:lineRule="atLeast"/>
        <w:ind w:left="0" w:firstLine="640"/>
      </w:pPr>
      <w:r>
        <w:rPr>
          <w:rFonts w:hint="eastAsia" w:ascii="楷体_GB2312" w:eastAsia="楷体_GB2312" w:cs="楷体_GB2312"/>
          <w:b/>
          <w:bCs/>
        </w:rPr>
        <w:t>（一）最低生活保障档案的分类和归档材料</w:t>
      </w:r>
    </w:p>
    <w:p w14:paraId="2D62837C">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最低生活保障档案原则上分为审批类和日常管理类。</w:t>
      </w:r>
    </w:p>
    <w:p w14:paraId="728B50AF">
      <w:pPr>
        <w:pStyle w:val="2"/>
        <w:keepNext w:val="0"/>
        <w:keepLines w:val="0"/>
        <w:widowControl/>
        <w:suppressLineNumbers w:val="0"/>
        <w:spacing w:before="0" w:beforeAutospacing="0" w:after="0" w:afterAutospacing="0" w:line="570" w:lineRule="atLeast"/>
        <w:ind w:left="0" w:firstLine="640"/>
      </w:pPr>
      <w:r>
        <w:rPr>
          <w:b/>
          <w:bCs/>
        </w:rPr>
        <w:t>1.</w:t>
      </w:r>
      <w:r>
        <w:rPr>
          <w:rFonts w:hint="eastAsia" w:ascii="仿宋_GB2312" w:eastAsia="仿宋_GB2312" w:cs="仿宋_GB2312"/>
          <w:b/>
          <w:bCs/>
        </w:rPr>
        <w:t>审批类：</w:t>
      </w:r>
      <w:r>
        <w:rPr>
          <w:rFonts w:hint="eastAsia" w:ascii="仿宋_GB2312" w:eastAsia="仿宋_GB2312" w:cs="仿宋_GB2312"/>
        </w:rPr>
        <w:t>最低生活保障审批表、家庭经济状况核查授权委托书、如实申报承诺书、家庭经济状况核对报告、入户调查表、审核及审核确认公示单等行政文书，最低生活保障对象的申请书、居民户口簿、居民身份证、残疾证复印件等基础性材料。</w:t>
      </w:r>
    </w:p>
    <w:p w14:paraId="01509E99">
      <w:pPr>
        <w:pStyle w:val="2"/>
        <w:keepNext w:val="0"/>
        <w:keepLines w:val="0"/>
        <w:widowControl/>
        <w:suppressLineNumbers w:val="0"/>
        <w:spacing w:before="0" w:beforeAutospacing="0" w:after="0" w:afterAutospacing="0" w:line="570" w:lineRule="atLeast"/>
        <w:ind w:left="0" w:firstLine="640"/>
      </w:pPr>
      <w:r>
        <w:rPr>
          <w:b/>
          <w:bCs/>
        </w:rPr>
        <w:t>2.</w:t>
      </w:r>
      <w:r>
        <w:rPr>
          <w:rFonts w:hint="eastAsia" w:ascii="仿宋_GB2312" w:eastAsia="仿宋_GB2312" w:cs="仿宋_GB2312"/>
          <w:b/>
          <w:bCs/>
        </w:rPr>
        <w:t>日常管理类：</w:t>
      </w:r>
      <w:r>
        <w:rPr>
          <w:rFonts w:hint="eastAsia" w:ascii="仿宋_GB2312" w:eastAsia="仿宋_GB2312" w:cs="仿宋_GB2312"/>
        </w:rPr>
        <w:t>苏木乡镇街道人民政府（管理办）、大兴农场增发、减发、停发最低生活保障金的审批表和有关审核材料；最低生活保障对象参加公益活动记录；最低生活保障对象名册；日常入户调查材料等。</w:t>
      </w:r>
    </w:p>
    <w:p w14:paraId="01E232E2">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最低生活保障对象分类统计表、最低生活保障金统计表等统计材料归入本单位的文书档案。</w:t>
      </w:r>
    </w:p>
    <w:p w14:paraId="3DC66248">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最低生活保障资金的预算和决算、划拨凭证、发放领取名册等材料归入本单位的会计档案。</w:t>
      </w:r>
    </w:p>
    <w:p w14:paraId="4D59F7EE">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最低生活保障信息系统、统计系统所形成的电子数据，应按国家有关规定存档，确保其可读可用。</w:t>
      </w:r>
    </w:p>
    <w:p w14:paraId="552BE54A">
      <w:pPr>
        <w:pStyle w:val="2"/>
        <w:keepNext w:val="0"/>
        <w:keepLines w:val="0"/>
        <w:widowControl/>
        <w:suppressLineNumbers w:val="0"/>
        <w:spacing w:before="0" w:beforeAutospacing="0" w:after="0" w:afterAutospacing="0" w:line="570" w:lineRule="atLeast"/>
        <w:ind w:left="0" w:firstLine="640"/>
      </w:pPr>
      <w:r>
        <w:rPr>
          <w:rFonts w:hint="eastAsia" w:ascii="楷体_GB2312" w:eastAsia="楷体_GB2312" w:cs="楷体_GB2312"/>
          <w:b/>
          <w:bCs/>
        </w:rPr>
        <w:t>（二）最低生活保障档案的整理和保管期限</w:t>
      </w:r>
    </w:p>
    <w:p w14:paraId="6479ECF0">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审批类档案以户为单位进行整理；日常管理类档案按文书档案的整理方法整理。苏木乡镇街道人民政府（管理办）、大兴农场可结合实际制定具体的整理方案。</w:t>
      </w:r>
    </w:p>
    <w:p w14:paraId="48673C68">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审批类档案的保管期限为该最低生活保障对象停保后不少于</w:t>
      </w:r>
      <w:r>
        <w:t>3</w:t>
      </w:r>
      <w:r>
        <w:rPr>
          <w:rFonts w:hint="eastAsia" w:ascii="仿宋_GB2312" w:eastAsia="仿宋_GB2312" w:cs="仿宋_GB2312"/>
        </w:rPr>
        <w:t>年。日常管理类档案的保管期限不少于</w:t>
      </w:r>
      <w:r>
        <w:t>5</w:t>
      </w:r>
      <w:r>
        <w:rPr>
          <w:rFonts w:hint="eastAsia" w:ascii="仿宋_GB2312" w:eastAsia="仿宋_GB2312" w:cs="仿宋_GB2312"/>
        </w:rPr>
        <w:t>年。</w:t>
      </w:r>
    </w:p>
    <w:p w14:paraId="65C7A3E8">
      <w:pPr>
        <w:pStyle w:val="2"/>
        <w:keepNext w:val="0"/>
        <w:keepLines w:val="0"/>
        <w:widowControl/>
        <w:suppressLineNumbers w:val="0"/>
        <w:spacing w:before="0" w:beforeAutospacing="0" w:after="0" w:afterAutospacing="0" w:line="570" w:lineRule="atLeast"/>
        <w:ind w:left="0" w:firstLine="640"/>
      </w:pPr>
      <w:r>
        <w:rPr>
          <w:rFonts w:hint="eastAsia" w:ascii="楷体_GB2312" w:eastAsia="楷体_GB2312" w:cs="楷体_GB2312"/>
          <w:b/>
          <w:bCs/>
        </w:rPr>
        <w:t>（三）最低生活保障档案的管理和利用</w:t>
      </w:r>
    </w:p>
    <w:p w14:paraId="0C06C83A">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最低生活保障档案由做出审核确认的苏木乡镇街道人民政府（管理办）、大兴农场保管，保管单位要配备必要的保管设备和防护设施，保证最低生活保障档案的安全。</w:t>
      </w:r>
    </w:p>
    <w:p w14:paraId="63F75C3E">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最低生活保障档案主要供最低生活保障管理部门使用。上级单位、监察机关、审计机关、法院和检察院因工作或办案需要可以查阅最低生活保障档案。最低生活保障对象查阅最低生活保障档案的，由本人或者其代理人出具有效身份证明、委托书后方可查询。利用者不得丢失、销毁、涂改档案。</w:t>
      </w:r>
    </w:p>
    <w:p w14:paraId="2E836D61">
      <w:pPr>
        <w:pStyle w:val="2"/>
        <w:keepNext w:val="0"/>
        <w:keepLines w:val="0"/>
        <w:widowControl/>
        <w:suppressLineNumbers w:val="0"/>
        <w:spacing w:before="0" w:beforeAutospacing="0" w:after="0" w:afterAutospacing="0" w:line="570" w:lineRule="atLeast"/>
        <w:ind w:left="0" w:firstLine="640"/>
      </w:pPr>
      <w:r>
        <w:rPr>
          <w:rFonts w:hint="eastAsia" w:ascii="黑体" w:hAnsi="宋体" w:eastAsia="黑体" w:cs="黑体"/>
        </w:rPr>
        <w:t>十四、监督管理</w:t>
      </w:r>
    </w:p>
    <w:p w14:paraId="7B7ACD04">
      <w:pPr>
        <w:pStyle w:val="2"/>
        <w:keepNext w:val="0"/>
        <w:keepLines w:val="0"/>
        <w:widowControl/>
        <w:suppressLineNumbers w:val="0"/>
        <w:spacing w:before="0" w:beforeAutospacing="0" w:after="0" w:afterAutospacing="0" w:line="570" w:lineRule="atLeast"/>
        <w:ind w:left="0" w:firstLine="640"/>
      </w:pPr>
      <w:r>
        <w:rPr>
          <w:rFonts w:hint="eastAsia" w:ascii="楷体_GB2312" w:eastAsia="楷体_GB2312" w:cs="楷体_GB2312"/>
          <w:b/>
          <w:bCs/>
        </w:rPr>
        <w:t>（一）明确职责分工</w:t>
      </w:r>
    </w:p>
    <w:p w14:paraId="13193573">
      <w:pPr>
        <w:pStyle w:val="2"/>
        <w:keepNext w:val="0"/>
        <w:keepLines w:val="0"/>
        <w:widowControl/>
        <w:suppressLineNumbers w:val="0"/>
        <w:spacing w:before="0" w:beforeAutospacing="0" w:after="0" w:afterAutospacing="0" w:line="570" w:lineRule="atLeast"/>
        <w:ind w:left="0" w:firstLine="640"/>
      </w:pPr>
      <w:r>
        <w:t>1.</w:t>
      </w:r>
      <w:r>
        <w:rPr>
          <w:rFonts w:hint="eastAsia" w:ascii="仿宋_GB2312" w:eastAsia="仿宋_GB2312" w:cs="仿宋_GB2312"/>
        </w:rPr>
        <w:t>苏木乡镇街道人民政府（管理办）、大兴农场负责最低生活保障的受理、审核、确认工作，要加强本辖区内最低生活保障审核确认工作的规范管理和相关服务，促进最低生活保障工作公开、公平、公正。旗民政部门要加强对所辖苏木乡镇街道人民政府（管理办）、大兴农场的业务指导、培训和监管，建立监管工作任务清单，细化监管工作事项、措施、程序，对苏木乡镇街道人民政府（管理办）、大兴农场审核确认事项按照不低于</w:t>
      </w:r>
      <w:r>
        <w:t>30%</w:t>
      </w:r>
      <w:r>
        <w:rPr>
          <w:rFonts w:hint="eastAsia" w:ascii="仿宋_GB2312" w:eastAsia="仿宋_GB2312" w:cs="仿宋_GB2312"/>
        </w:rPr>
        <w:t>的比例进行抽查。</w:t>
      </w:r>
    </w:p>
    <w:p w14:paraId="1C910253">
      <w:pPr>
        <w:pStyle w:val="2"/>
        <w:keepNext w:val="0"/>
        <w:keepLines w:val="0"/>
        <w:widowControl/>
        <w:suppressLineNumbers w:val="0"/>
        <w:spacing w:before="0" w:beforeAutospacing="0" w:after="0" w:afterAutospacing="0" w:line="570" w:lineRule="atLeast"/>
        <w:ind w:left="0" w:firstLine="640"/>
      </w:pPr>
      <w:r>
        <w:t>2.</w:t>
      </w:r>
      <w:r>
        <w:rPr>
          <w:rFonts w:hint="eastAsia" w:ascii="仿宋_GB2312" w:eastAsia="仿宋_GB2312" w:cs="仿宋_GB2312"/>
        </w:rPr>
        <w:t>苏木乡镇街道人民政府（管理办）、大兴农场负责最低生活保障的受理、审核及批准确认工作。要对申请家庭进行</w:t>
      </w:r>
      <w:r>
        <w:t>100%</w:t>
      </w:r>
      <w:r>
        <w:rPr>
          <w:rFonts w:hint="eastAsia" w:ascii="仿宋_GB2312" w:eastAsia="仿宋_GB2312" w:cs="仿宋_GB2312"/>
        </w:rPr>
        <w:t>入户调查核实，落实好档案管理、定期复核、一次性告知等规范管理责任。</w:t>
      </w:r>
    </w:p>
    <w:p w14:paraId="7C42708B">
      <w:pPr>
        <w:pStyle w:val="2"/>
        <w:keepNext w:val="0"/>
        <w:keepLines w:val="0"/>
        <w:widowControl/>
        <w:suppressLineNumbers w:val="0"/>
        <w:spacing w:before="0" w:beforeAutospacing="0" w:after="0" w:afterAutospacing="0" w:line="570" w:lineRule="atLeast"/>
        <w:ind w:left="0" w:firstLine="640"/>
      </w:pPr>
      <w:r>
        <w:t>3.</w:t>
      </w:r>
      <w:r>
        <w:rPr>
          <w:rFonts w:hint="eastAsia" w:ascii="仿宋_GB2312" w:eastAsia="仿宋_GB2312" w:cs="仿宋_GB2312"/>
        </w:rPr>
        <w:t>嘎查村（居）民委员会协助做好相关工作。建立嘎查村、社区社会救助协理员代办（帮办）制度，对申请人因身体、年龄等特殊原因个人申请有困难的，由嘎查村（社区）协理员实行代办、帮办。建立健全主动发现机制，充分发挥嘎查村（居）民委员会、驻村包村干部、社会工作者、志愿者、嘎查村（居）民等熟悉民情的特点，对陷入生活困境的困难群众做到早发现、早干预、早救助。</w:t>
      </w:r>
    </w:p>
    <w:p w14:paraId="1F275215">
      <w:pPr>
        <w:pStyle w:val="2"/>
        <w:keepNext w:val="0"/>
        <w:keepLines w:val="0"/>
        <w:widowControl/>
        <w:suppressLineNumbers w:val="0"/>
        <w:spacing w:before="0" w:beforeAutospacing="0" w:after="0" w:afterAutospacing="0" w:line="570" w:lineRule="atLeast"/>
        <w:ind w:left="0" w:firstLine="640"/>
      </w:pPr>
      <w:r>
        <w:rPr>
          <w:rFonts w:hint="eastAsia" w:ascii="楷体_GB2312" w:eastAsia="楷体_GB2312" w:cs="楷体_GB2312"/>
          <w:b/>
          <w:bCs/>
        </w:rPr>
        <w:t>（二）畅通救助渠道</w:t>
      </w:r>
    </w:p>
    <w:p w14:paraId="5FE0D84E">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旗民政部门要全面公开旗乡两级社会救助服务热线，并将社会救助服务热线并入“</w:t>
      </w:r>
      <w:r>
        <w:t>12345</w:t>
      </w:r>
      <w:r>
        <w:rPr>
          <w:rFonts w:hint="eastAsia" w:ascii="仿宋_GB2312" w:eastAsia="仿宋_GB2312" w:cs="仿宋_GB2312"/>
        </w:rPr>
        <w:t>”政务服务热线，及时受理群众咨询、举报和投诉，接受社会和群众对最低生活保障审核确认工作的监督。旗民政部门和苏木乡镇街道人民政府（管理办）、大兴农场对接到的实名举报，应当逐一核查，并及时向举报人反馈核查处理结果。申请或者已经获得最低生活保障的家庭成员对于苏木乡镇街道人民政府（管理办）、大兴农场做出的具体行政行为不服的，可以依法申请行政复议或者提起行政诉讼。</w:t>
      </w:r>
    </w:p>
    <w:p w14:paraId="10B622F2">
      <w:pPr>
        <w:pStyle w:val="2"/>
        <w:keepNext w:val="0"/>
        <w:keepLines w:val="0"/>
        <w:widowControl/>
        <w:suppressLineNumbers w:val="0"/>
        <w:spacing w:before="0" w:beforeAutospacing="0" w:after="0" w:afterAutospacing="0" w:line="570" w:lineRule="atLeast"/>
        <w:ind w:left="0" w:firstLine="640"/>
      </w:pPr>
      <w:r>
        <w:rPr>
          <w:rFonts w:hint="eastAsia" w:ascii="楷体_GB2312" w:eastAsia="楷体_GB2312" w:cs="楷体_GB2312"/>
          <w:b/>
          <w:bCs/>
        </w:rPr>
        <w:t>（三）建立容错纠错机制</w:t>
      </w:r>
    </w:p>
    <w:p w14:paraId="327E680A">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从事最低生活保障工作的人员存在滥用职权、玩忽职守、徇私舞弊、失职渎职等行为的，应当依法依规追究相关责任。对秉持公心、履职尽责但因客观原因出现失误偏差且能够及时纠正的，依法依规免于问责。免责情形：</w:t>
      </w:r>
    </w:p>
    <w:p w14:paraId="4D9BD1BF">
      <w:pPr>
        <w:pStyle w:val="2"/>
        <w:keepNext w:val="0"/>
        <w:keepLines w:val="0"/>
        <w:widowControl/>
        <w:suppressLineNumbers w:val="0"/>
        <w:spacing w:before="0" w:beforeAutospacing="0" w:after="0" w:afterAutospacing="0" w:line="570" w:lineRule="atLeast"/>
        <w:ind w:left="0" w:firstLine="640"/>
      </w:pPr>
      <w:r>
        <w:t>1.</w:t>
      </w:r>
      <w:r>
        <w:rPr>
          <w:rFonts w:hint="eastAsia" w:ascii="仿宋_GB2312" w:eastAsia="仿宋_GB2312" w:cs="仿宋_GB2312"/>
        </w:rPr>
        <w:t>申请人做出申请承诺、填报家庭信息时，有意隐瞒真实情况，工作人员已经履行信息核查和入户调查程序，通过现有手段均未发现其隐瞒的真实情况而给予最低生活保障的；</w:t>
      </w:r>
    </w:p>
    <w:p w14:paraId="4EBAF895">
      <w:pPr>
        <w:pStyle w:val="2"/>
        <w:keepNext w:val="0"/>
        <w:keepLines w:val="0"/>
        <w:widowControl/>
        <w:suppressLineNumbers w:val="0"/>
        <w:spacing w:before="0" w:beforeAutospacing="0" w:after="0" w:afterAutospacing="0" w:line="570" w:lineRule="atLeast"/>
        <w:ind w:left="0" w:firstLine="640"/>
      </w:pPr>
      <w:r>
        <w:t>2.</w:t>
      </w:r>
      <w:r>
        <w:rPr>
          <w:rFonts w:hint="eastAsia" w:ascii="仿宋_GB2312" w:eastAsia="仿宋_GB2312" w:cs="仿宋_GB2312"/>
        </w:rPr>
        <w:t>因信息未实现共享，在核对系统中无相关数据或相关部门提供数据不准确、不全面，导致应纳入民政保障而未纳入民政保障、不应纳入民政保障而纳入民政保障或应退未退的；</w:t>
      </w:r>
    </w:p>
    <w:p w14:paraId="7902B2A7">
      <w:pPr>
        <w:pStyle w:val="2"/>
        <w:keepNext w:val="0"/>
        <w:keepLines w:val="0"/>
        <w:widowControl/>
        <w:suppressLineNumbers w:val="0"/>
        <w:spacing w:before="0" w:beforeAutospacing="0" w:after="0" w:afterAutospacing="0" w:line="570" w:lineRule="atLeast"/>
        <w:ind w:left="0" w:firstLine="640"/>
      </w:pPr>
      <w:r>
        <w:t>3.</w:t>
      </w:r>
      <w:r>
        <w:rPr>
          <w:rFonts w:hint="eastAsia" w:ascii="仿宋_GB2312" w:eastAsia="仿宋_GB2312" w:cs="仿宋_GB2312"/>
        </w:rPr>
        <w:t>保障对象在保障期内家庭经济状况发生变化未履行定期报告义务，而经办人员已经按规定执行动态管理制度，但通过现有手段无法及时发现，导致未能及时退保的；</w:t>
      </w:r>
    </w:p>
    <w:p w14:paraId="168CDEA1">
      <w:pPr>
        <w:pStyle w:val="2"/>
        <w:keepNext w:val="0"/>
        <w:keepLines w:val="0"/>
        <w:widowControl/>
        <w:suppressLineNumbers w:val="0"/>
        <w:spacing w:before="0" w:beforeAutospacing="0" w:after="0" w:afterAutospacing="0" w:line="570" w:lineRule="atLeast"/>
        <w:ind w:left="0" w:firstLine="640"/>
      </w:pPr>
      <w:r>
        <w:t>4.</w:t>
      </w:r>
      <w:r>
        <w:rPr>
          <w:rFonts w:hint="eastAsia" w:ascii="仿宋_GB2312" w:eastAsia="仿宋_GB2312" w:cs="仿宋_GB2312"/>
        </w:rPr>
        <w:t>因困难群众主动放弃社会救助导致兜底保障职能未履行到位而出现漏洞或其他突发情况的；</w:t>
      </w:r>
    </w:p>
    <w:p w14:paraId="532FCADA">
      <w:pPr>
        <w:pStyle w:val="2"/>
        <w:keepNext w:val="0"/>
        <w:keepLines w:val="0"/>
        <w:widowControl/>
        <w:suppressLineNumbers w:val="0"/>
        <w:spacing w:before="0" w:beforeAutospacing="0" w:after="0" w:afterAutospacing="0" w:line="570" w:lineRule="atLeast"/>
        <w:ind w:left="0" w:firstLine="640"/>
      </w:pPr>
      <w:r>
        <w:t>5.</w:t>
      </w:r>
      <w:r>
        <w:rPr>
          <w:rFonts w:hint="eastAsia" w:ascii="仿宋_GB2312" w:eastAsia="仿宋_GB2312" w:cs="仿宋_GB2312"/>
        </w:rPr>
        <w:t>最低生活保障家庭成员死亡后，自死亡之日起</w:t>
      </w:r>
      <w:r>
        <w:t>3</w:t>
      </w:r>
      <w:r>
        <w:rPr>
          <w:rFonts w:hint="eastAsia" w:ascii="仿宋_GB2312" w:eastAsia="仿宋_GB2312" w:cs="仿宋_GB2312"/>
        </w:rPr>
        <w:t>个月内对其家庭经济进行核查，并办理完最低生活保障金增发、减发、停发等相关手续的；</w:t>
      </w:r>
    </w:p>
    <w:p w14:paraId="0BC01DC8">
      <w:pPr>
        <w:pStyle w:val="2"/>
        <w:keepNext w:val="0"/>
        <w:keepLines w:val="0"/>
        <w:widowControl/>
        <w:suppressLineNumbers w:val="0"/>
        <w:spacing w:before="0" w:beforeAutospacing="0" w:after="0" w:afterAutospacing="0" w:line="570" w:lineRule="atLeast"/>
        <w:ind w:left="0" w:firstLine="640"/>
      </w:pPr>
      <w:r>
        <w:t>6.</w:t>
      </w:r>
      <w:r>
        <w:rPr>
          <w:rFonts w:hint="eastAsia" w:ascii="仿宋_GB2312" w:eastAsia="仿宋_GB2312" w:cs="仿宋_GB2312"/>
        </w:rPr>
        <w:t>在处置民政突发应急事件中，出于维护国家和人民利益考虑，因事情紧迫、临时决断而出现失误和偏差的情形；</w:t>
      </w:r>
    </w:p>
    <w:p w14:paraId="291AC98B">
      <w:pPr>
        <w:pStyle w:val="2"/>
        <w:keepNext w:val="0"/>
        <w:keepLines w:val="0"/>
        <w:widowControl/>
        <w:suppressLineNumbers w:val="0"/>
        <w:spacing w:before="0" w:beforeAutospacing="0" w:after="0" w:afterAutospacing="0" w:line="570" w:lineRule="atLeast"/>
        <w:ind w:left="0" w:firstLine="640"/>
      </w:pPr>
      <w:r>
        <w:t>7.</w:t>
      </w:r>
      <w:r>
        <w:rPr>
          <w:rFonts w:hint="eastAsia" w:ascii="仿宋_GB2312" w:eastAsia="仿宋_GB2312" w:cs="仿宋_GB2312"/>
        </w:rPr>
        <w:t>社会力量在开展社会救助相关工作中，出现失误导致错保、漏保，且未造成严重影响和损失的；</w:t>
      </w:r>
    </w:p>
    <w:p w14:paraId="37769918">
      <w:pPr>
        <w:pStyle w:val="2"/>
        <w:keepNext w:val="0"/>
        <w:keepLines w:val="0"/>
        <w:widowControl/>
        <w:suppressLineNumbers w:val="0"/>
        <w:spacing w:before="0" w:beforeAutospacing="0" w:after="0" w:afterAutospacing="0" w:line="570" w:lineRule="atLeast"/>
        <w:ind w:left="0" w:firstLine="640"/>
      </w:pPr>
      <w:r>
        <w:t>8.</w:t>
      </w:r>
      <w:r>
        <w:rPr>
          <w:rFonts w:hint="eastAsia" w:ascii="仿宋_GB2312" w:eastAsia="仿宋_GB2312" w:cs="仿宋_GB2312"/>
        </w:rPr>
        <w:t>旗民政部门及苏木乡镇街道人民政府（管理办）、大兴农场在推进民政工作改革创新中因工作机制不健全、工作手段缺失、缺乏经验、先行先试等原因出现的失误和错误且未谋取私利的情形；</w:t>
      </w:r>
    </w:p>
    <w:p w14:paraId="2DACA889">
      <w:pPr>
        <w:pStyle w:val="2"/>
        <w:keepNext w:val="0"/>
        <w:keepLines w:val="0"/>
        <w:widowControl/>
        <w:suppressLineNumbers w:val="0"/>
        <w:spacing w:before="0" w:beforeAutospacing="0" w:after="0" w:afterAutospacing="0" w:line="570" w:lineRule="atLeast"/>
        <w:ind w:left="0" w:firstLine="640"/>
      </w:pPr>
      <w:r>
        <w:t>9.</w:t>
      </w:r>
      <w:r>
        <w:rPr>
          <w:rFonts w:hint="eastAsia" w:ascii="仿宋_GB2312" w:eastAsia="仿宋_GB2312" w:cs="仿宋_GB2312"/>
        </w:rPr>
        <w:t>因其他部门处理不当，造成民政保障对象错保的；</w:t>
      </w:r>
    </w:p>
    <w:p w14:paraId="5A571590">
      <w:pPr>
        <w:pStyle w:val="2"/>
        <w:keepNext w:val="0"/>
        <w:keepLines w:val="0"/>
        <w:widowControl/>
        <w:suppressLineNumbers w:val="0"/>
        <w:spacing w:before="0" w:beforeAutospacing="0" w:after="0" w:afterAutospacing="0" w:line="570" w:lineRule="atLeast"/>
        <w:ind w:left="0" w:firstLine="640"/>
      </w:pPr>
      <w:r>
        <w:t>10.</w:t>
      </w:r>
      <w:r>
        <w:rPr>
          <w:rFonts w:hint="eastAsia" w:ascii="仿宋_GB2312" w:eastAsia="仿宋_GB2312" w:cs="仿宋_GB2312"/>
        </w:rPr>
        <w:t>其他符合尽职免责情形的。</w:t>
      </w:r>
    </w:p>
    <w:p w14:paraId="04925AA7">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不予免责情形：</w:t>
      </w:r>
    </w:p>
    <w:p w14:paraId="3C2DCE4F">
      <w:pPr>
        <w:pStyle w:val="2"/>
        <w:keepNext w:val="0"/>
        <w:keepLines w:val="0"/>
        <w:widowControl/>
        <w:suppressLineNumbers w:val="0"/>
        <w:spacing w:before="0" w:beforeAutospacing="0" w:after="0" w:afterAutospacing="0" w:line="570" w:lineRule="atLeast"/>
        <w:ind w:left="0" w:firstLine="640"/>
      </w:pPr>
      <w:r>
        <w:t>1.</w:t>
      </w:r>
      <w:r>
        <w:rPr>
          <w:rFonts w:hint="eastAsia" w:ascii="仿宋_GB2312" w:eastAsia="仿宋_GB2312" w:cs="仿宋_GB2312"/>
        </w:rPr>
        <w:t>未按照社会救助规定的程序对救助申请进行公示、核查、审核确认的；</w:t>
      </w:r>
    </w:p>
    <w:p w14:paraId="14974B19">
      <w:pPr>
        <w:pStyle w:val="2"/>
        <w:keepNext w:val="0"/>
        <w:keepLines w:val="0"/>
        <w:widowControl/>
        <w:suppressLineNumbers w:val="0"/>
        <w:spacing w:before="0" w:beforeAutospacing="0" w:after="0" w:afterAutospacing="0" w:line="570" w:lineRule="atLeast"/>
        <w:ind w:left="0" w:firstLine="640"/>
      </w:pPr>
      <w:r>
        <w:t>2.</w:t>
      </w:r>
      <w:r>
        <w:rPr>
          <w:rFonts w:hint="eastAsia" w:ascii="仿宋_GB2312" w:eastAsia="仿宋_GB2312" w:cs="仿宋_GB2312"/>
        </w:rPr>
        <w:t>经核查社会救助对象不符合救助条件，未予以停止救助的；</w:t>
      </w:r>
    </w:p>
    <w:p w14:paraId="441E8607">
      <w:pPr>
        <w:pStyle w:val="2"/>
        <w:keepNext w:val="0"/>
        <w:keepLines w:val="0"/>
        <w:widowControl/>
        <w:suppressLineNumbers w:val="0"/>
        <w:spacing w:before="0" w:beforeAutospacing="0" w:after="0" w:afterAutospacing="0" w:line="570" w:lineRule="atLeast"/>
        <w:ind w:left="0" w:firstLine="640"/>
      </w:pPr>
      <w:r>
        <w:t>3.</w:t>
      </w:r>
      <w:r>
        <w:rPr>
          <w:rFonts w:hint="eastAsia" w:ascii="仿宋_GB2312" w:eastAsia="仿宋_GB2312" w:cs="仿宋_GB2312"/>
        </w:rPr>
        <w:t>未按照社会救助相关规定核实处理有关举报、投诉的；</w:t>
      </w:r>
    </w:p>
    <w:p w14:paraId="1024067E">
      <w:pPr>
        <w:pStyle w:val="2"/>
        <w:keepNext w:val="0"/>
        <w:keepLines w:val="0"/>
        <w:widowControl/>
        <w:suppressLineNumbers w:val="0"/>
        <w:spacing w:before="0" w:beforeAutospacing="0" w:after="0" w:afterAutospacing="0" w:line="570" w:lineRule="atLeast"/>
        <w:ind w:left="0" w:firstLine="640"/>
      </w:pPr>
      <w:r>
        <w:t>4.</w:t>
      </w:r>
      <w:r>
        <w:rPr>
          <w:rFonts w:hint="eastAsia" w:ascii="仿宋_GB2312" w:eastAsia="仿宋_GB2312" w:cs="仿宋_GB2312"/>
        </w:rPr>
        <w:t>对符合救助条件的困难群众申请消极应对、推诿扯皮、损害党群、干群关系的；</w:t>
      </w:r>
    </w:p>
    <w:p w14:paraId="7BECB70F">
      <w:pPr>
        <w:pStyle w:val="2"/>
        <w:keepNext w:val="0"/>
        <w:keepLines w:val="0"/>
        <w:widowControl/>
        <w:suppressLineNumbers w:val="0"/>
        <w:spacing w:before="0" w:beforeAutospacing="0" w:after="0" w:afterAutospacing="0" w:line="570" w:lineRule="atLeast"/>
        <w:ind w:left="0" w:firstLine="640"/>
      </w:pPr>
      <w:r>
        <w:t>5.</w:t>
      </w:r>
      <w:r>
        <w:rPr>
          <w:rFonts w:hint="eastAsia" w:ascii="仿宋_GB2312" w:eastAsia="仿宋_GB2312" w:cs="仿宋_GB2312"/>
        </w:rPr>
        <w:t>“应保尽保”未履行到位、造成恶劣社会影响的；</w:t>
      </w:r>
    </w:p>
    <w:p w14:paraId="3C094AD1">
      <w:pPr>
        <w:pStyle w:val="2"/>
        <w:keepNext w:val="0"/>
        <w:keepLines w:val="0"/>
        <w:widowControl/>
        <w:suppressLineNumbers w:val="0"/>
        <w:spacing w:before="0" w:beforeAutospacing="0" w:after="0" w:afterAutospacing="0" w:line="570" w:lineRule="atLeast"/>
        <w:ind w:left="0" w:firstLine="640"/>
      </w:pPr>
      <w:r>
        <w:t>6.</w:t>
      </w:r>
      <w:r>
        <w:rPr>
          <w:rFonts w:hint="eastAsia" w:ascii="仿宋_GB2312" w:eastAsia="仿宋_GB2312" w:cs="仿宋_GB2312"/>
        </w:rPr>
        <w:t>有滥用职权、玩忽职守、徇私舞弊等行为的；</w:t>
      </w:r>
    </w:p>
    <w:p w14:paraId="1A073158">
      <w:pPr>
        <w:pStyle w:val="2"/>
        <w:keepNext w:val="0"/>
        <w:keepLines w:val="0"/>
        <w:widowControl/>
        <w:suppressLineNumbers w:val="0"/>
        <w:spacing w:before="0" w:beforeAutospacing="0" w:after="0" w:afterAutospacing="0" w:line="570" w:lineRule="atLeast"/>
        <w:ind w:left="0" w:firstLine="640"/>
      </w:pPr>
      <w:r>
        <w:t>7.</w:t>
      </w:r>
      <w:r>
        <w:rPr>
          <w:rFonts w:hint="eastAsia" w:ascii="仿宋_GB2312" w:eastAsia="仿宋_GB2312" w:cs="仿宋_GB2312"/>
        </w:rPr>
        <w:t>其他违反法律法规、规章制度规定的。</w:t>
      </w:r>
    </w:p>
    <w:p w14:paraId="761A2169">
      <w:pPr>
        <w:pStyle w:val="2"/>
        <w:keepNext w:val="0"/>
        <w:keepLines w:val="0"/>
        <w:widowControl/>
        <w:suppressLineNumbers w:val="0"/>
        <w:spacing w:before="0" w:beforeAutospacing="0" w:after="0" w:afterAutospacing="0" w:line="570" w:lineRule="atLeast"/>
        <w:ind w:left="0" w:firstLine="640"/>
      </w:pPr>
      <w:r>
        <w:rPr>
          <w:rFonts w:hint="eastAsia" w:ascii="黑体" w:hAnsi="宋体" w:eastAsia="黑体" w:cs="黑体"/>
        </w:rPr>
        <w:t>十五、其他</w:t>
      </w:r>
    </w:p>
    <w:p w14:paraId="257DE3DE">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本方案由旗民政局负责解释，自发布之日起施行，以往相关规定中与本方案不一致的，按照本方案执行。</w:t>
      </w:r>
    </w:p>
    <w:p w14:paraId="2A9EC632">
      <w:pPr>
        <w:pStyle w:val="2"/>
        <w:keepNext w:val="0"/>
        <w:keepLines w:val="0"/>
        <w:widowControl/>
        <w:suppressLineNumbers w:val="0"/>
        <w:spacing w:before="0" w:beforeAutospacing="0" w:after="0" w:afterAutospacing="0" w:line="570" w:lineRule="atLeast"/>
        <w:ind w:left="0" w:firstLine="640"/>
      </w:pPr>
      <w:r>
        <w:t> </w:t>
      </w:r>
    </w:p>
    <w:p w14:paraId="07F91872">
      <w:pPr>
        <w:pStyle w:val="2"/>
        <w:keepNext w:val="0"/>
        <w:keepLines w:val="0"/>
        <w:widowControl/>
        <w:suppressLineNumbers w:val="0"/>
        <w:spacing w:before="0" w:beforeAutospacing="0" w:after="0" w:afterAutospacing="0" w:line="570" w:lineRule="atLeast"/>
        <w:ind w:left="0" w:firstLine="640"/>
      </w:pPr>
      <w:r>
        <w:rPr>
          <w:rFonts w:hint="eastAsia" w:ascii="仿宋_GB2312" w:eastAsia="仿宋_GB2312" w:cs="仿宋_GB2312"/>
        </w:rPr>
        <w:t>附件：最低生活保障劳动力系数测算标准及代码表</w:t>
      </w:r>
    </w:p>
    <w:p w14:paraId="0EB8DEC9">
      <w:pPr>
        <w:pStyle w:val="2"/>
        <w:keepNext w:val="0"/>
        <w:keepLines w:val="0"/>
        <w:widowControl/>
        <w:suppressLineNumbers w:val="0"/>
        <w:spacing w:before="0" w:beforeAutospacing="0" w:after="0" w:afterAutospacing="0" w:line="570" w:lineRule="atLeast"/>
        <w:ind w:left="0" w:firstLine="640"/>
      </w:pPr>
      <w:r>
        <w:t> </w:t>
      </w:r>
    </w:p>
    <w:p w14:paraId="07C5E904">
      <w:pPr>
        <w:pStyle w:val="2"/>
        <w:keepNext w:val="0"/>
        <w:keepLines w:val="0"/>
        <w:widowControl/>
        <w:suppressLineNumbers w:val="0"/>
        <w:spacing w:line="315" w:lineRule="atLeast"/>
      </w:pPr>
    </w:p>
    <w:p w14:paraId="63ECB712">
      <w:pPr>
        <w:pStyle w:val="2"/>
        <w:keepNext w:val="0"/>
        <w:keepLines w:val="0"/>
        <w:widowControl/>
        <w:suppressLineNumbers w:val="0"/>
        <w:spacing w:before="0" w:beforeAutospacing="0" w:after="0" w:afterAutospacing="0" w:line="570" w:lineRule="atLeast"/>
      </w:pPr>
      <w:r>
        <w:rPr>
          <w:rFonts w:hint="eastAsia" w:ascii="黑体" w:hAnsi="宋体" w:eastAsia="黑体" w:cs="黑体"/>
        </w:rPr>
        <w:t>附件</w:t>
      </w:r>
    </w:p>
    <w:p w14:paraId="04A9A966">
      <w:pPr>
        <w:pStyle w:val="2"/>
        <w:keepNext w:val="0"/>
        <w:keepLines w:val="0"/>
        <w:widowControl/>
        <w:suppressLineNumbers w:val="0"/>
        <w:spacing w:before="0" w:beforeAutospacing="0" w:after="0" w:afterAutospacing="0" w:line="570" w:lineRule="atLeast"/>
        <w:jc w:val="center"/>
      </w:pPr>
      <w:r>
        <w:rPr>
          <w:rFonts w:hint="eastAsia" w:ascii="方正小标宋简体" w:hAnsi="方正小标宋简体" w:eastAsia="方正小标宋简体" w:cs="方正小标宋简体"/>
          <w:spacing w:val="9"/>
          <w:sz w:val="44"/>
          <w:szCs w:val="44"/>
        </w:rPr>
        <w:t>最低生活保障劳动力系数测算标准及代码表</w:t>
      </w:r>
    </w:p>
    <w:p w14:paraId="13F25C61">
      <w:pPr>
        <w:pStyle w:val="2"/>
        <w:keepNext w:val="0"/>
        <w:keepLines w:val="0"/>
        <w:widowControl/>
        <w:suppressLineNumbers w:val="0"/>
        <w:spacing w:before="0" w:beforeAutospacing="0" w:after="0" w:afterAutospacing="0" w:line="570" w:lineRule="atLeast"/>
      </w:pPr>
      <w:r>
        <w:t> </w:t>
      </w:r>
    </w:p>
    <w:tbl>
      <w:tblPr>
        <w:tblW w:w="14265"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1645"/>
        <w:gridCol w:w="2972"/>
        <w:gridCol w:w="2570"/>
        <w:gridCol w:w="1880"/>
        <w:gridCol w:w="1885"/>
        <w:gridCol w:w="1714"/>
        <w:gridCol w:w="1599"/>
      </w:tblGrid>
      <w:tr w14:paraId="15C68C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288" w:hRule="atLeast"/>
        </w:trPr>
        <w:tc>
          <w:tcPr>
            <w:tcW w:w="4602" w:type="dxa"/>
            <w:gridSpan w:val="2"/>
            <w:tcBorders>
              <w:top w:val="single" w:color="000000" w:sz="6" w:space="0"/>
              <w:left w:val="single" w:color="000000" w:sz="6" w:space="0"/>
              <w:bottom w:val="single" w:color="000000" w:sz="6" w:space="0"/>
              <w:right w:val="single" w:color="000000" w:sz="6" w:space="0"/>
            </w:tcBorders>
            <w:shd w:val="clear"/>
            <w:vAlign w:val="center"/>
          </w:tcPr>
          <w:p w14:paraId="3C7AAF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黑体" w:hAnsi="宋体" w:eastAsia="黑体" w:cs="黑体"/>
                <w:spacing w:val="8"/>
                <w:sz w:val="28"/>
                <w:szCs w:val="28"/>
                <w:bdr w:val="none" w:color="auto" w:sz="0" w:space="0"/>
              </w:rPr>
              <w:t>类别及等级</w:t>
            </w:r>
          </w:p>
        </w:tc>
        <w:tc>
          <w:tcPr>
            <w:tcW w:w="2555" w:type="dxa"/>
            <w:tcBorders>
              <w:top w:val="single" w:color="000000" w:sz="6" w:space="0"/>
              <w:left w:val="single" w:color="000000" w:sz="6" w:space="0"/>
              <w:bottom w:val="single" w:color="000000" w:sz="6" w:space="0"/>
              <w:right w:val="single" w:color="000000" w:sz="6" w:space="0"/>
            </w:tcBorders>
            <w:shd w:val="clear"/>
            <w:vAlign w:val="center"/>
          </w:tcPr>
          <w:p w14:paraId="02BD5B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pPr>
            <w:r>
              <w:rPr>
                <w:rFonts w:hint="eastAsia" w:ascii="黑体" w:hAnsi="宋体" w:eastAsia="黑体" w:cs="黑体"/>
                <w:spacing w:val="-7"/>
                <w:sz w:val="28"/>
                <w:szCs w:val="28"/>
                <w:bdr w:val="none" w:color="auto" w:sz="0" w:space="0"/>
              </w:rPr>
              <w:t>男</w:t>
            </w:r>
            <w:r>
              <w:rPr>
                <w:spacing w:val="-7"/>
                <w:sz w:val="28"/>
                <w:szCs w:val="28"/>
                <w:bdr w:val="none" w:color="auto" w:sz="0" w:space="0"/>
              </w:rPr>
              <w:t>18</w:t>
            </w:r>
            <w:r>
              <w:rPr>
                <w:rFonts w:hint="eastAsia" w:ascii="黑体" w:hAnsi="宋体" w:eastAsia="黑体" w:cs="黑体"/>
                <w:spacing w:val="-7"/>
                <w:sz w:val="28"/>
                <w:szCs w:val="28"/>
                <w:bdr w:val="none" w:color="auto" w:sz="0" w:space="0"/>
              </w:rPr>
              <w:t>周岁</w:t>
            </w:r>
            <w:r>
              <w:rPr>
                <w:spacing w:val="-7"/>
                <w:sz w:val="28"/>
                <w:szCs w:val="28"/>
                <w:bdr w:val="none" w:color="auto" w:sz="0" w:space="0"/>
              </w:rPr>
              <w:t>-55</w:t>
            </w:r>
            <w:r>
              <w:rPr>
                <w:rFonts w:hint="eastAsia" w:ascii="黑体" w:hAnsi="宋体" w:eastAsia="黑体" w:cs="黑体"/>
                <w:spacing w:val="-7"/>
                <w:sz w:val="28"/>
                <w:szCs w:val="28"/>
                <w:bdr w:val="none" w:color="auto" w:sz="0" w:space="0"/>
              </w:rPr>
              <w:t>周岁（含）</w:t>
            </w:r>
            <w:r>
              <w:rPr>
                <w:rFonts w:hint="eastAsia" w:ascii="黑体" w:hAnsi="宋体" w:eastAsia="黑体" w:cs="黑体"/>
                <w:sz w:val="28"/>
                <w:szCs w:val="28"/>
                <w:bdr w:val="none" w:color="auto" w:sz="0" w:space="0"/>
              </w:rPr>
              <w:t>女</w:t>
            </w:r>
            <w:r>
              <w:rPr>
                <w:sz w:val="28"/>
                <w:szCs w:val="28"/>
                <w:bdr w:val="none" w:color="auto" w:sz="0" w:space="0"/>
              </w:rPr>
              <w:t>18</w:t>
            </w:r>
            <w:r>
              <w:rPr>
                <w:rFonts w:hint="eastAsia" w:ascii="黑体" w:hAnsi="宋体" w:eastAsia="黑体" w:cs="黑体"/>
                <w:sz w:val="28"/>
                <w:szCs w:val="28"/>
                <w:bdr w:val="none" w:color="auto" w:sz="0" w:space="0"/>
              </w:rPr>
              <w:t>周岁</w:t>
            </w:r>
            <w:r>
              <w:rPr>
                <w:sz w:val="28"/>
                <w:szCs w:val="28"/>
                <w:bdr w:val="none" w:color="auto" w:sz="0" w:space="0"/>
              </w:rPr>
              <w:t>-50</w:t>
            </w:r>
            <w:r>
              <w:rPr>
                <w:rFonts w:hint="eastAsia" w:ascii="黑体" w:hAnsi="宋体" w:eastAsia="黑体" w:cs="黑体"/>
                <w:sz w:val="28"/>
                <w:szCs w:val="28"/>
                <w:bdr w:val="none" w:color="auto" w:sz="0" w:space="0"/>
              </w:rPr>
              <w:t>周岁</w:t>
            </w:r>
            <w:r>
              <w:rPr>
                <w:rFonts w:hint="eastAsia" w:ascii="黑体" w:hAnsi="宋体" w:eastAsia="黑体" w:cs="黑体"/>
                <w:spacing w:val="-1"/>
                <w:sz w:val="28"/>
                <w:szCs w:val="28"/>
                <w:bdr w:val="none" w:color="auto" w:sz="0" w:space="0"/>
              </w:rPr>
              <w:t>（含）</w:t>
            </w:r>
          </w:p>
        </w:tc>
        <w:tc>
          <w:tcPr>
            <w:tcW w:w="1865" w:type="dxa"/>
            <w:tcBorders>
              <w:top w:val="single" w:color="000000" w:sz="6" w:space="0"/>
              <w:left w:val="single" w:color="000000" w:sz="6" w:space="0"/>
              <w:bottom w:val="single" w:color="000000" w:sz="6" w:space="0"/>
              <w:right w:val="single" w:color="000000" w:sz="6" w:space="0"/>
            </w:tcBorders>
            <w:shd w:val="clear"/>
            <w:vAlign w:val="center"/>
          </w:tcPr>
          <w:p w14:paraId="0BC496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pPr>
            <w:r>
              <w:rPr>
                <w:rFonts w:hint="eastAsia" w:ascii="黑体" w:hAnsi="宋体" w:eastAsia="黑体" w:cs="黑体"/>
                <w:spacing w:val="-8"/>
                <w:sz w:val="28"/>
                <w:szCs w:val="28"/>
                <w:bdr w:val="none" w:color="auto" w:sz="0" w:space="0"/>
              </w:rPr>
              <w:t>男</w:t>
            </w:r>
            <w:r>
              <w:rPr>
                <w:spacing w:val="-8"/>
                <w:sz w:val="28"/>
                <w:szCs w:val="28"/>
                <w:bdr w:val="none" w:color="auto" w:sz="0" w:space="0"/>
              </w:rPr>
              <w:t>56-60</w:t>
            </w:r>
            <w:r>
              <w:rPr>
                <w:rFonts w:hint="eastAsia" w:ascii="黑体" w:hAnsi="宋体" w:eastAsia="黑体" w:cs="黑体"/>
                <w:spacing w:val="-8"/>
                <w:sz w:val="28"/>
                <w:szCs w:val="28"/>
                <w:bdr w:val="none" w:color="auto" w:sz="0" w:space="0"/>
              </w:rPr>
              <w:t>周岁（含）</w:t>
            </w:r>
            <w:r>
              <w:rPr>
                <w:rFonts w:hint="eastAsia" w:ascii="黑体" w:hAnsi="宋体" w:eastAsia="黑体" w:cs="黑体"/>
                <w:spacing w:val="-7"/>
                <w:sz w:val="28"/>
                <w:szCs w:val="28"/>
                <w:bdr w:val="none" w:color="auto" w:sz="0" w:space="0"/>
              </w:rPr>
              <w:t>女</w:t>
            </w:r>
            <w:r>
              <w:rPr>
                <w:spacing w:val="-7"/>
                <w:sz w:val="28"/>
                <w:szCs w:val="28"/>
                <w:bdr w:val="none" w:color="auto" w:sz="0" w:space="0"/>
              </w:rPr>
              <w:t>51-55</w:t>
            </w:r>
            <w:r>
              <w:rPr>
                <w:rFonts w:hint="eastAsia" w:ascii="黑体" w:hAnsi="宋体" w:eastAsia="黑体" w:cs="黑体"/>
                <w:spacing w:val="-7"/>
                <w:sz w:val="28"/>
                <w:szCs w:val="28"/>
                <w:bdr w:val="none" w:color="auto" w:sz="0" w:space="0"/>
              </w:rPr>
              <w:t>周岁（含）</w:t>
            </w:r>
          </w:p>
        </w:tc>
        <w:tc>
          <w:tcPr>
            <w:tcW w:w="1870" w:type="dxa"/>
            <w:tcBorders>
              <w:top w:val="single" w:color="000000" w:sz="6" w:space="0"/>
              <w:left w:val="single" w:color="000000" w:sz="6" w:space="0"/>
              <w:bottom w:val="single" w:color="000000" w:sz="6" w:space="0"/>
              <w:right w:val="single" w:color="000000" w:sz="6" w:space="0"/>
            </w:tcBorders>
            <w:shd w:val="clear"/>
            <w:vAlign w:val="center"/>
          </w:tcPr>
          <w:p w14:paraId="0C269B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pPr>
            <w:r>
              <w:rPr>
                <w:rFonts w:hint="eastAsia" w:ascii="黑体" w:hAnsi="宋体" w:eastAsia="黑体" w:cs="黑体"/>
                <w:spacing w:val="-7"/>
                <w:sz w:val="28"/>
                <w:szCs w:val="28"/>
                <w:bdr w:val="none" w:color="auto" w:sz="0" w:space="0"/>
              </w:rPr>
              <w:t>男</w:t>
            </w:r>
            <w:r>
              <w:rPr>
                <w:spacing w:val="-7"/>
                <w:sz w:val="28"/>
                <w:szCs w:val="28"/>
                <w:bdr w:val="none" w:color="auto" w:sz="0" w:space="0"/>
              </w:rPr>
              <w:t>61-65</w:t>
            </w:r>
            <w:r>
              <w:rPr>
                <w:rFonts w:hint="eastAsia" w:ascii="黑体" w:hAnsi="宋体" w:eastAsia="黑体" w:cs="黑体"/>
                <w:spacing w:val="-7"/>
                <w:sz w:val="28"/>
                <w:szCs w:val="28"/>
                <w:bdr w:val="none" w:color="auto" w:sz="0" w:space="0"/>
              </w:rPr>
              <w:t>周岁（含）女</w:t>
            </w:r>
            <w:r>
              <w:rPr>
                <w:spacing w:val="-7"/>
                <w:sz w:val="28"/>
                <w:szCs w:val="28"/>
                <w:bdr w:val="none" w:color="auto" w:sz="0" w:space="0"/>
              </w:rPr>
              <w:t>56-66</w:t>
            </w:r>
            <w:r>
              <w:rPr>
                <w:rFonts w:hint="eastAsia" w:ascii="黑体" w:hAnsi="宋体" w:eastAsia="黑体" w:cs="黑体"/>
                <w:spacing w:val="-7"/>
                <w:sz w:val="28"/>
                <w:szCs w:val="28"/>
                <w:bdr w:val="none" w:color="auto" w:sz="0" w:space="0"/>
              </w:rPr>
              <w:t>周岁（含）</w:t>
            </w:r>
          </w:p>
        </w:tc>
        <w:tc>
          <w:tcPr>
            <w:tcW w:w="1699" w:type="dxa"/>
            <w:tcBorders>
              <w:top w:val="single" w:color="000000" w:sz="6" w:space="0"/>
              <w:left w:val="single" w:color="000000" w:sz="6" w:space="0"/>
              <w:bottom w:val="single" w:color="000000" w:sz="6" w:space="0"/>
              <w:right w:val="single" w:color="000000" w:sz="6" w:space="0"/>
            </w:tcBorders>
            <w:shd w:val="clear"/>
            <w:vAlign w:val="center"/>
          </w:tcPr>
          <w:p w14:paraId="20FE67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pPr>
            <w:r>
              <w:rPr>
                <w:spacing w:val="11"/>
                <w:sz w:val="28"/>
                <w:szCs w:val="28"/>
                <w:bdr w:val="none" w:color="auto" w:sz="0" w:space="0"/>
              </w:rPr>
              <w:t>66</w:t>
            </w:r>
            <w:r>
              <w:rPr>
                <w:rFonts w:hint="eastAsia" w:ascii="黑体" w:hAnsi="宋体" w:eastAsia="黑体" w:cs="黑体"/>
                <w:spacing w:val="11"/>
                <w:sz w:val="28"/>
                <w:szCs w:val="28"/>
                <w:bdr w:val="none" w:color="auto" w:sz="0" w:space="0"/>
              </w:rPr>
              <w:t>周岁以上</w:t>
            </w:r>
            <w:r>
              <w:rPr>
                <w:spacing w:val="11"/>
                <w:sz w:val="28"/>
                <w:szCs w:val="28"/>
                <w:bdr w:val="none" w:color="auto" w:sz="0" w:space="0"/>
              </w:rPr>
              <w:t>-69</w:t>
            </w:r>
            <w:r>
              <w:rPr>
                <w:rFonts w:hint="eastAsia" w:ascii="黑体" w:hAnsi="宋体" w:eastAsia="黑体" w:cs="黑体"/>
                <w:spacing w:val="7"/>
                <w:sz w:val="28"/>
                <w:szCs w:val="28"/>
                <w:bdr w:val="none" w:color="auto" w:sz="0" w:space="0"/>
              </w:rPr>
              <w:t>周岁以下（含）</w:t>
            </w:r>
          </w:p>
        </w:tc>
        <w:tc>
          <w:tcPr>
            <w:tcW w:w="1583" w:type="dxa"/>
            <w:tcBorders>
              <w:top w:val="single" w:color="000000" w:sz="6" w:space="0"/>
              <w:left w:val="single" w:color="000000" w:sz="6" w:space="0"/>
              <w:bottom w:val="single" w:color="000000" w:sz="6" w:space="0"/>
              <w:right w:val="single" w:color="000000" w:sz="6" w:space="0"/>
            </w:tcBorders>
            <w:shd w:val="clear"/>
            <w:vAlign w:val="center"/>
          </w:tcPr>
          <w:p w14:paraId="0C8943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pPr>
            <w:r>
              <w:rPr>
                <w:spacing w:val="2"/>
                <w:sz w:val="28"/>
                <w:szCs w:val="28"/>
                <w:bdr w:val="none" w:color="auto" w:sz="0" w:space="0"/>
              </w:rPr>
              <w:t>18</w:t>
            </w:r>
            <w:r>
              <w:rPr>
                <w:rFonts w:hint="eastAsia" w:ascii="黑体" w:hAnsi="宋体" w:eastAsia="黑体" w:cs="黑体"/>
                <w:spacing w:val="2"/>
                <w:sz w:val="28"/>
                <w:szCs w:val="28"/>
                <w:bdr w:val="none" w:color="auto" w:sz="0" w:space="0"/>
              </w:rPr>
              <w:t>周岁以下</w:t>
            </w:r>
            <w:r>
              <w:rPr>
                <w:rFonts w:hint="eastAsia" w:ascii="黑体" w:hAnsi="宋体" w:eastAsia="黑体" w:cs="黑体"/>
                <w:spacing w:val="8"/>
                <w:sz w:val="28"/>
                <w:szCs w:val="28"/>
                <w:bdr w:val="none" w:color="auto" w:sz="0" w:space="0"/>
              </w:rPr>
              <w:t>及在校学生</w:t>
            </w:r>
            <w:r>
              <w:rPr>
                <w:rFonts w:hint="eastAsia" w:ascii="黑体" w:hAnsi="宋体" w:eastAsia="黑体" w:cs="黑体"/>
                <w:spacing w:val="-10"/>
                <w:sz w:val="28"/>
                <w:szCs w:val="28"/>
                <w:bdr w:val="none" w:color="auto" w:sz="0" w:space="0"/>
              </w:rPr>
              <w:t>或</w:t>
            </w:r>
            <w:r>
              <w:rPr>
                <w:spacing w:val="-10"/>
                <w:sz w:val="28"/>
                <w:szCs w:val="28"/>
                <w:bdr w:val="none" w:color="auto" w:sz="0" w:space="0"/>
              </w:rPr>
              <w:t>70</w:t>
            </w:r>
            <w:r>
              <w:rPr>
                <w:rFonts w:hint="eastAsia" w:ascii="黑体" w:hAnsi="宋体" w:eastAsia="黑体" w:cs="黑体"/>
                <w:spacing w:val="-10"/>
                <w:sz w:val="28"/>
                <w:szCs w:val="28"/>
                <w:bdr w:val="none" w:color="auto" w:sz="0" w:space="0"/>
              </w:rPr>
              <w:t>周岁（含）</w:t>
            </w:r>
            <w:r>
              <w:rPr>
                <w:rFonts w:hint="eastAsia" w:ascii="黑体" w:hAnsi="宋体" w:eastAsia="黑体" w:cs="黑体"/>
                <w:spacing w:val="-4"/>
                <w:sz w:val="28"/>
                <w:szCs w:val="28"/>
                <w:bdr w:val="none" w:color="auto" w:sz="0" w:space="0"/>
              </w:rPr>
              <w:t>以上</w:t>
            </w:r>
          </w:p>
        </w:tc>
      </w:tr>
      <w:tr w14:paraId="59E4F1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21" w:hRule="atLeast"/>
        </w:trPr>
        <w:tc>
          <w:tcPr>
            <w:tcW w:w="4602" w:type="dxa"/>
            <w:gridSpan w:val="2"/>
            <w:tcBorders>
              <w:top w:val="single" w:color="000000" w:sz="6" w:space="0"/>
              <w:left w:val="single" w:color="000000" w:sz="6" w:space="0"/>
              <w:bottom w:val="single" w:color="000000" w:sz="6" w:space="0"/>
              <w:right w:val="single" w:color="000000" w:sz="6" w:space="0"/>
            </w:tcBorders>
            <w:shd w:val="clear"/>
            <w:vAlign w:val="center"/>
          </w:tcPr>
          <w:p w14:paraId="535A58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pPr>
            <w:r>
              <w:rPr>
                <w:rFonts w:hint="eastAsia" w:ascii="黑体" w:hAnsi="宋体" w:eastAsia="黑体" w:cs="黑体"/>
                <w:spacing w:val="6"/>
                <w:sz w:val="28"/>
                <w:szCs w:val="28"/>
                <w:bdr w:val="none" w:color="auto" w:sz="0" w:space="0"/>
              </w:rPr>
              <w:t>正常人员</w:t>
            </w:r>
          </w:p>
        </w:tc>
        <w:tc>
          <w:tcPr>
            <w:tcW w:w="2555" w:type="dxa"/>
            <w:tcBorders>
              <w:top w:val="single" w:color="000000" w:sz="6" w:space="0"/>
              <w:left w:val="single" w:color="000000" w:sz="6" w:space="0"/>
              <w:bottom w:val="single" w:color="000000" w:sz="6" w:space="0"/>
              <w:right w:val="single" w:color="000000" w:sz="6" w:space="0"/>
            </w:tcBorders>
            <w:shd w:val="clear"/>
            <w:vAlign w:val="center"/>
          </w:tcPr>
          <w:p w14:paraId="155FD9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ascii="仿宋" w:hAnsi="仿宋" w:eastAsia="仿宋" w:cs="仿宋"/>
                <w:spacing w:val="10"/>
                <w:sz w:val="30"/>
                <w:szCs w:val="30"/>
                <w:bdr w:val="none" w:color="auto" w:sz="0" w:space="0"/>
              </w:rPr>
              <w:t>A1：1</w:t>
            </w:r>
          </w:p>
        </w:tc>
        <w:tc>
          <w:tcPr>
            <w:tcW w:w="1865" w:type="dxa"/>
            <w:tcBorders>
              <w:top w:val="single" w:color="000000" w:sz="6" w:space="0"/>
              <w:left w:val="single" w:color="000000" w:sz="6" w:space="0"/>
              <w:bottom w:val="single" w:color="000000" w:sz="6" w:space="0"/>
              <w:right w:val="single" w:color="000000" w:sz="6" w:space="0"/>
            </w:tcBorders>
            <w:shd w:val="clear"/>
            <w:vAlign w:val="center"/>
          </w:tcPr>
          <w:p w14:paraId="384B55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仿宋" w:hAnsi="仿宋" w:eastAsia="仿宋" w:cs="仿宋"/>
                <w:spacing w:val="5"/>
                <w:sz w:val="30"/>
                <w:szCs w:val="30"/>
                <w:bdr w:val="none" w:color="auto" w:sz="0" w:space="0"/>
              </w:rPr>
              <w:t>A2：0.8</w:t>
            </w:r>
          </w:p>
        </w:tc>
        <w:tc>
          <w:tcPr>
            <w:tcW w:w="1870" w:type="dxa"/>
            <w:tcBorders>
              <w:top w:val="single" w:color="000000" w:sz="6" w:space="0"/>
              <w:left w:val="single" w:color="000000" w:sz="6" w:space="0"/>
              <w:bottom w:val="single" w:color="000000" w:sz="6" w:space="0"/>
              <w:right w:val="single" w:color="000000" w:sz="6" w:space="0"/>
            </w:tcBorders>
            <w:shd w:val="clear"/>
            <w:vAlign w:val="center"/>
          </w:tcPr>
          <w:p w14:paraId="38D25F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仿宋" w:hAnsi="仿宋" w:eastAsia="仿宋" w:cs="仿宋"/>
                <w:spacing w:val="5"/>
                <w:sz w:val="30"/>
                <w:szCs w:val="30"/>
                <w:bdr w:val="none" w:color="auto" w:sz="0" w:space="0"/>
              </w:rPr>
              <w:t>A3：0.4</w:t>
            </w:r>
          </w:p>
        </w:tc>
        <w:tc>
          <w:tcPr>
            <w:tcW w:w="1699" w:type="dxa"/>
            <w:tcBorders>
              <w:top w:val="single" w:color="000000" w:sz="6" w:space="0"/>
              <w:left w:val="single" w:color="000000" w:sz="6" w:space="0"/>
              <w:bottom w:val="single" w:color="000000" w:sz="6" w:space="0"/>
              <w:right w:val="single" w:color="000000" w:sz="6" w:space="0"/>
            </w:tcBorders>
            <w:shd w:val="clear"/>
            <w:vAlign w:val="center"/>
          </w:tcPr>
          <w:p w14:paraId="446752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仿宋" w:hAnsi="仿宋" w:eastAsia="仿宋" w:cs="仿宋"/>
                <w:spacing w:val="5"/>
                <w:sz w:val="30"/>
                <w:szCs w:val="30"/>
                <w:bdr w:val="none" w:color="auto" w:sz="0" w:space="0"/>
              </w:rPr>
              <w:t>A4：0.2</w:t>
            </w:r>
          </w:p>
        </w:tc>
        <w:tc>
          <w:tcPr>
            <w:tcW w:w="1583" w:type="dxa"/>
            <w:tcBorders>
              <w:top w:val="single" w:color="000000" w:sz="6" w:space="0"/>
              <w:left w:val="single" w:color="000000" w:sz="6" w:space="0"/>
              <w:bottom w:val="single" w:color="000000" w:sz="6" w:space="0"/>
              <w:right w:val="single" w:color="000000" w:sz="6" w:space="0"/>
            </w:tcBorders>
            <w:shd w:val="clear"/>
            <w:vAlign w:val="center"/>
          </w:tcPr>
          <w:p w14:paraId="647DF7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spacing w:val="7"/>
                <w:sz w:val="28"/>
                <w:szCs w:val="28"/>
                <w:bdr w:val="none" w:color="auto" w:sz="0" w:space="0"/>
              </w:rPr>
              <w:t>A5</w:t>
            </w:r>
            <w:r>
              <w:rPr>
                <w:rFonts w:hint="eastAsia" w:ascii="仿宋_GB2312" w:eastAsia="仿宋_GB2312" w:cs="仿宋_GB2312"/>
                <w:spacing w:val="7"/>
                <w:sz w:val="28"/>
                <w:szCs w:val="28"/>
                <w:bdr w:val="none" w:color="auto" w:sz="0" w:space="0"/>
              </w:rPr>
              <w:t>：</w:t>
            </w:r>
            <w:r>
              <w:rPr>
                <w:spacing w:val="7"/>
                <w:sz w:val="28"/>
                <w:szCs w:val="28"/>
                <w:bdr w:val="none" w:color="auto" w:sz="0" w:space="0"/>
              </w:rPr>
              <w:t>0</w:t>
            </w:r>
          </w:p>
        </w:tc>
      </w:tr>
      <w:tr w14:paraId="23B745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880" w:hRule="atLeast"/>
        </w:trPr>
        <w:tc>
          <w:tcPr>
            <w:tcW w:w="4602" w:type="dxa"/>
            <w:gridSpan w:val="2"/>
            <w:tcBorders>
              <w:top w:val="single" w:color="000000" w:sz="6" w:space="0"/>
              <w:left w:val="single" w:color="000000" w:sz="6" w:space="0"/>
              <w:bottom w:val="single" w:color="000000" w:sz="6" w:space="0"/>
              <w:right w:val="single" w:color="000000" w:sz="6" w:space="0"/>
            </w:tcBorders>
            <w:shd w:val="clear"/>
            <w:vAlign w:val="center"/>
          </w:tcPr>
          <w:p w14:paraId="23C7F5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pPr>
            <w:r>
              <w:rPr>
                <w:rFonts w:hint="eastAsia" w:ascii="黑体" w:hAnsi="宋体" w:eastAsia="黑体" w:cs="黑体"/>
                <w:spacing w:val="7"/>
                <w:sz w:val="28"/>
                <w:szCs w:val="28"/>
                <w:bdr w:val="none" w:color="auto" w:sz="0" w:space="0"/>
              </w:rPr>
              <w:t>慢病人员</w:t>
            </w:r>
          </w:p>
        </w:tc>
        <w:tc>
          <w:tcPr>
            <w:tcW w:w="2555" w:type="dxa"/>
            <w:tcBorders>
              <w:top w:val="single" w:color="000000" w:sz="6" w:space="0"/>
              <w:left w:val="single" w:color="000000" w:sz="6" w:space="0"/>
              <w:bottom w:val="single" w:color="000000" w:sz="6" w:space="0"/>
              <w:right w:val="single" w:color="000000" w:sz="6" w:space="0"/>
            </w:tcBorders>
            <w:shd w:val="clear"/>
            <w:vAlign w:val="center"/>
          </w:tcPr>
          <w:p w14:paraId="7A421F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仿宋" w:hAnsi="仿宋" w:eastAsia="仿宋" w:cs="仿宋"/>
                <w:spacing w:val="5"/>
                <w:sz w:val="30"/>
                <w:szCs w:val="30"/>
                <w:bdr w:val="none" w:color="auto" w:sz="0" w:space="0"/>
              </w:rPr>
              <w:t>B1：0.6</w:t>
            </w:r>
          </w:p>
        </w:tc>
        <w:tc>
          <w:tcPr>
            <w:tcW w:w="1865" w:type="dxa"/>
            <w:tcBorders>
              <w:top w:val="single" w:color="000000" w:sz="6" w:space="0"/>
              <w:left w:val="single" w:color="000000" w:sz="6" w:space="0"/>
              <w:bottom w:val="single" w:color="000000" w:sz="6" w:space="0"/>
              <w:right w:val="single" w:color="000000" w:sz="6" w:space="0"/>
            </w:tcBorders>
            <w:shd w:val="clear"/>
            <w:vAlign w:val="center"/>
          </w:tcPr>
          <w:p w14:paraId="7CC0E1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仿宋" w:hAnsi="仿宋" w:eastAsia="仿宋" w:cs="仿宋"/>
                <w:spacing w:val="5"/>
                <w:sz w:val="30"/>
                <w:szCs w:val="30"/>
                <w:bdr w:val="none" w:color="auto" w:sz="0" w:space="0"/>
              </w:rPr>
              <w:t>B2：0.4</w:t>
            </w:r>
          </w:p>
        </w:tc>
        <w:tc>
          <w:tcPr>
            <w:tcW w:w="1870" w:type="dxa"/>
            <w:tcBorders>
              <w:top w:val="single" w:color="000000" w:sz="6" w:space="0"/>
              <w:left w:val="single" w:color="000000" w:sz="6" w:space="0"/>
              <w:bottom w:val="single" w:color="000000" w:sz="6" w:space="0"/>
              <w:right w:val="single" w:color="000000" w:sz="6" w:space="0"/>
            </w:tcBorders>
            <w:shd w:val="clear"/>
            <w:vAlign w:val="center"/>
          </w:tcPr>
          <w:p w14:paraId="19E0F1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仿宋" w:hAnsi="仿宋" w:eastAsia="仿宋" w:cs="仿宋"/>
                <w:spacing w:val="5"/>
                <w:sz w:val="30"/>
                <w:szCs w:val="30"/>
                <w:bdr w:val="none" w:color="auto" w:sz="0" w:space="0"/>
              </w:rPr>
              <w:t>B3：0.2</w:t>
            </w:r>
          </w:p>
        </w:tc>
        <w:tc>
          <w:tcPr>
            <w:tcW w:w="1699" w:type="dxa"/>
            <w:tcBorders>
              <w:top w:val="single" w:color="000000" w:sz="6" w:space="0"/>
              <w:left w:val="single" w:color="000000" w:sz="6" w:space="0"/>
              <w:bottom w:val="single" w:color="000000" w:sz="6" w:space="0"/>
              <w:right w:val="single" w:color="000000" w:sz="6" w:space="0"/>
            </w:tcBorders>
            <w:shd w:val="clear"/>
            <w:vAlign w:val="center"/>
          </w:tcPr>
          <w:p w14:paraId="2E0086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仿宋" w:hAnsi="仿宋" w:eastAsia="仿宋" w:cs="仿宋"/>
                <w:spacing w:val="5"/>
                <w:sz w:val="30"/>
                <w:szCs w:val="30"/>
                <w:bdr w:val="none" w:color="auto" w:sz="0" w:space="0"/>
              </w:rPr>
              <w:t>B4：0.1</w:t>
            </w:r>
          </w:p>
        </w:tc>
        <w:tc>
          <w:tcPr>
            <w:tcW w:w="1583" w:type="dxa"/>
            <w:tcBorders>
              <w:top w:val="single" w:color="000000" w:sz="6" w:space="0"/>
              <w:left w:val="single" w:color="000000" w:sz="6" w:space="0"/>
              <w:bottom w:val="single" w:color="000000" w:sz="6" w:space="0"/>
              <w:right w:val="single" w:color="000000" w:sz="6" w:space="0"/>
            </w:tcBorders>
            <w:shd w:val="clear"/>
            <w:vAlign w:val="center"/>
          </w:tcPr>
          <w:p w14:paraId="785763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spacing w:val="6"/>
                <w:sz w:val="28"/>
                <w:szCs w:val="28"/>
                <w:bdr w:val="none" w:color="auto" w:sz="0" w:space="0"/>
              </w:rPr>
              <w:t>B5</w:t>
            </w:r>
            <w:r>
              <w:rPr>
                <w:rFonts w:hint="eastAsia" w:ascii="仿宋_GB2312" w:eastAsia="仿宋_GB2312" w:cs="仿宋_GB2312"/>
                <w:spacing w:val="6"/>
                <w:sz w:val="28"/>
                <w:szCs w:val="28"/>
                <w:bdr w:val="none" w:color="auto" w:sz="0" w:space="0"/>
              </w:rPr>
              <w:t>：</w:t>
            </w:r>
            <w:r>
              <w:rPr>
                <w:spacing w:val="6"/>
                <w:sz w:val="28"/>
                <w:szCs w:val="28"/>
                <w:bdr w:val="none" w:color="auto" w:sz="0" w:space="0"/>
              </w:rPr>
              <w:t>0</w:t>
            </w:r>
          </w:p>
        </w:tc>
      </w:tr>
      <w:tr w14:paraId="59D35C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49" w:hRule="atLeast"/>
        </w:trPr>
        <w:tc>
          <w:tcPr>
            <w:tcW w:w="4602" w:type="dxa"/>
            <w:gridSpan w:val="2"/>
            <w:tcBorders>
              <w:top w:val="single" w:color="000000" w:sz="6" w:space="0"/>
              <w:left w:val="single" w:color="000000" w:sz="6" w:space="0"/>
              <w:bottom w:val="single" w:color="000000" w:sz="6" w:space="0"/>
              <w:right w:val="single" w:color="000000" w:sz="6" w:space="0"/>
            </w:tcBorders>
            <w:shd w:val="clear"/>
            <w:vAlign w:val="center"/>
          </w:tcPr>
          <w:p w14:paraId="510B30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pPr>
            <w:r>
              <w:rPr>
                <w:rFonts w:hint="eastAsia" w:ascii="黑体" w:hAnsi="宋体" w:eastAsia="黑体" w:cs="黑体"/>
                <w:spacing w:val="6"/>
                <w:sz w:val="28"/>
                <w:szCs w:val="28"/>
                <w:bdr w:val="none" w:color="auto" w:sz="0" w:space="0"/>
              </w:rPr>
              <w:t>有部分劳动能力的残疾人员：</w:t>
            </w:r>
          </w:p>
          <w:p w14:paraId="284F7A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pPr>
            <w:r>
              <w:rPr>
                <w:rFonts w:hint="eastAsia" w:ascii="黑体" w:hAnsi="宋体" w:eastAsia="黑体" w:cs="黑体"/>
                <w:spacing w:val="6"/>
                <w:sz w:val="28"/>
                <w:szCs w:val="28"/>
                <w:bdr w:val="none" w:color="auto" w:sz="0" w:space="0"/>
              </w:rPr>
              <w:t>肢体</w:t>
            </w:r>
            <w:r>
              <w:rPr>
                <w:spacing w:val="6"/>
                <w:sz w:val="28"/>
                <w:szCs w:val="28"/>
                <w:bdr w:val="none" w:color="auto" w:sz="0" w:space="0"/>
              </w:rPr>
              <w:t>4</w:t>
            </w:r>
            <w:r>
              <w:rPr>
                <w:rFonts w:hint="eastAsia" w:ascii="黑体" w:hAnsi="宋体" w:eastAsia="黑体" w:cs="黑体"/>
                <w:spacing w:val="6"/>
                <w:sz w:val="28"/>
                <w:szCs w:val="28"/>
                <w:bdr w:val="none" w:color="auto" w:sz="0" w:space="0"/>
              </w:rPr>
              <w:t>级；视力残疾</w:t>
            </w:r>
            <w:r>
              <w:rPr>
                <w:spacing w:val="6"/>
                <w:sz w:val="28"/>
                <w:szCs w:val="28"/>
                <w:bdr w:val="none" w:color="auto" w:sz="0" w:space="0"/>
              </w:rPr>
              <w:t>4</w:t>
            </w:r>
            <w:r>
              <w:rPr>
                <w:rFonts w:hint="eastAsia" w:ascii="黑体" w:hAnsi="宋体" w:eastAsia="黑体" w:cs="黑体"/>
                <w:spacing w:val="6"/>
                <w:sz w:val="28"/>
                <w:szCs w:val="28"/>
                <w:bdr w:val="none" w:color="auto" w:sz="0" w:space="0"/>
              </w:rPr>
              <w:t>级；语言听力</w:t>
            </w:r>
            <w:r>
              <w:rPr>
                <w:spacing w:val="6"/>
                <w:sz w:val="28"/>
                <w:szCs w:val="28"/>
                <w:bdr w:val="none" w:color="auto" w:sz="0" w:space="0"/>
              </w:rPr>
              <w:t>3</w:t>
            </w:r>
            <w:r>
              <w:rPr>
                <w:rFonts w:hint="eastAsia" w:ascii="黑体" w:hAnsi="宋体" w:eastAsia="黑体" w:cs="黑体"/>
                <w:spacing w:val="6"/>
                <w:sz w:val="28"/>
                <w:szCs w:val="28"/>
                <w:bdr w:val="none" w:color="auto" w:sz="0" w:space="0"/>
              </w:rPr>
              <w:t>、</w:t>
            </w:r>
            <w:r>
              <w:rPr>
                <w:spacing w:val="6"/>
                <w:sz w:val="28"/>
                <w:szCs w:val="28"/>
                <w:bdr w:val="none" w:color="auto" w:sz="0" w:space="0"/>
              </w:rPr>
              <w:t>4</w:t>
            </w:r>
            <w:r>
              <w:rPr>
                <w:rFonts w:hint="eastAsia" w:ascii="黑体" w:hAnsi="宋体" w:eastAsia="黑体" w:cs="黑体"/>
                <w:spacing w:val="6"/>
                <w:sz w:val="28"/>
                <w:szCs w:val="28"/>
                <w:bdr w:val="none" w:color="auto" w:sz="0" w:space="0"/>
              </w:rPr>
              <w:t>级；</w:t>
            </w:r>
          </w:p>
        </w:tc>
        <w:tc>
          <w:tcPr>
            <w:tcW w:w="2555" w:type="dxa"/>
            <w:tcBorders>
              <w:top w:val="single" w:color="000000" w:sz="6" w:space="0"/>
              <w:left w:val="single" w:color="000000" w:sz="6" w:space="0"/>
              <w:bottom w:val="single" w:color="000000" w:sz="6" w:space="0"/>
              <w:right w:val="single" w:color="000000" w:sz="6" w:space="0"/>
            </w:tcBorders>
            <w:shd w:val="clear"/>
            <w:vAlign w:val="center"/>
          </w:tcPr>
          <w:p w14:paraId="052DC5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仿宋" w:hAnsi="仿宋" w:eastAsia="仿宋" w:cs="仿宋"/>
                <w:spacing w:val="4"/>
                <w:sz w:val="30"/>
                <w:szCs w:val="30"/>
                <w:bdr w:val="none" w:color="auto" w:sz="0" w:space="0"/>
              </w:rPr>
              <w:t>C1：0.6</w:t>
            </w:r>
          </w:p>
        </w:tc>
        <w:tc>
          <w:tcPr>
            <w:tcW w:w="1865" w:type="dxa"/>
            <w:tcBorders>
              <w:top w:val="single" w:color="000000" w:sz="6" w:space="0"/>
              <w:left w:val="single" w:color="000000" w:sz="6" w:space="0"/>
              <w:bottom w:val="single" w:color="000000" w:sz="6" w:space="0"/>
              <w:right w:val="single" w:color="000000" w:sz="6" w:space="0"/>
            </w:tcBorders>
            <w:shd w:val="clear"/>
            <w:vAlign w:val="center"/>
          </w:tcPr>
          <w:p w14:paraId="40BDF6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仿宋" w:hAnsi="仿宋" w:eastAsia="仿宋" w:cs="仿宋"/>
                <w:spacing w:val="4"/>
                <w:sz w:val="30"/>
                <w:szCs w:val="30"/>
                <w:bdr w:val="none" w:color="auto" w:sz="0" w:space="0"/>
              </w:rPr>
              <w:t>C2：0.4</w:t>
            </w:r>
          </w:p>
        </w:tc>
        <w:tc>
          <w:tcPr>
            <w:tcW w:w="1870" w:type="dxa"/>
            <w:tcBorders>
              <w:top w:val="single" w:color="000000" w:sz="6" w:space="0"/>
              <w:left w:val="single" w:color="000000" w:sz="6" w:space="0"/>
              <w:bottom w:val="single" w:color="000000" w:sz="6" w:space="0"/>
              <w:right w:val="single" w:color="000000" w:sz="6" w:space="0"/>
            </w:tcBorders>
            <w:shd w:val="clear"/>
            <w:vAlign w:val="center"/>
          </w:tcPr>
          <w:p w14:paraId="76BEE7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仿宋" w:hAnsi="仿宋" w:eastAsia="仿宋" w:cs="仿宋"/>
                <w:spacing w:val="4"/>
                <w:sz w:val="30"/>
                <w:szCs w:val="30"/>
                <w:bdr w:val="none" w:color="auto" w:sz="0" w:space="0"/>
              </w:rPr>
              <w:t>C3：0.2</w:t>
            </w:r>
          </w:p>
        </w:tc>
        <w:tc>
          <w:tcPr>
            <w:tcW w:w="1699" w:type="dxa"/>
            <w:tcBorders>
              <w:top w:val="single" w:color="000000" w:sz="6" w:space="0"/>
              <w:left w:val="single" w:color="000000" w:sz="6" w:space="0"/>
              <w:bottom w:val="single" w:color="000000" w:sz="6" w:space="0"/>
              <w:right w:val="single" w:color="000000" w:sz="6" w:space="0"/>
            </w:tcBorders>
            <w:shd w:val="clear"/>
            <w:vAlign w:val="center"/>
          </w:tcPr>
          <w:p w14:paraId="70EF9D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仿宋" w:hAnsi="仿宋" w:eastAsia="仿宋" w:cs="仿宋"/>
                <w:spacing w:val="4"/>
                <w:sz w:val="30"/>
                <w:szCs w:val="30"/>
                <w:bdr w:val="none" w:color="auto" w:sz="0" w:space="0"/>
              </w:rPr>
              <w:t>C4：0.1</w:t>
            </w:r>
          </w:p>
        </w:tc>
        <w:tc>
          <w:tcPr>
            <w:tcW w:w="1583" w:type="dxa"/>
            <w:tcBorders>
              <w:top w:val="single" w:color="000000" w:sz="6" w:space="0"/>
              <w:left w:val="single" w:color="000000" w:sz="6" w:space="0"/>
              <w:bottom w:val="single" w:color="000000" w:sz="6" w:space="0"/>
              <w:right w:val="single" w:color="000000" w:sz="6" w:space="0"/>
            </w:tcBorders>
            <w:shd w:val="clear"/>
            <w:vAlign w:val="center"/>
          </w:tcPr>
          <w:p w14:paraId="70834F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spacing w:val="5"/>
                <w:sz w:val="28"/>
                <w:szCs w:val="28"/>
                <w:bdr w:val="none" w:color="auto" w:sz="0" w:space="0"/>
              </w:rPr>
              <w:t>C5</w:t>
            </w:r>
            <w:r>
              <w:rPr>
                <w:rFonts w:hint="eastAsia" w:ascii="仿宋_GB2312" w:eastAsia="仿宋_GB2312" w:cs="仿宋_GB2312"/>
                <w:spacing w:val="5"/>
                <w:sz w:val="28"/>
                <w:szCs w:val="28"/>
                <w:bdr w:val="none" w:color="auto" w:sz="0" w:space="0"/>
              </w:rPr>
              <w:t>：</w:t>
            </w:r>
            <w:r>
              <w:rPr>
                <w:spacing w:val="5"/>
                <w:sz w:val="28"/>
                <w:szCs w:val="28"/>
                <w:bdr w:val="none" w:color="auto" w:sz="0" w:space="0"/>
              </w:rPr>
              <w:t>0</w:t>
            </w:r>
          </w:p>
        </w:tc>
      </w:tr>
      <w:tr w14:paraId="325AB6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88" w:hRule="atLeast"/>
        </w:trPr>
        <w:tc>
          <w:tcPr>
            <w:tcW w:w="4602" w:type="dxa"/>
            <w:gridSpan w:val="2"/>
            <w:tcBorders>
              <w:top w:val="single" w:color="000000" w:sz="6" w:space="0"/>
              <w:left w:val="single" w:color="000000" w:sz="6" w:space="0"/>
              <w:bottom w:val="single" w:color="000000" w:sz="6" w:space="0"/>
              <w:right w:val="single" w:color="000000" w:sz="6" w:space="0"/>
            </w:tcBorders>
            <w:shd w:val="clear"/>
            <w:vAlign w:val="center"/>
          </w:tcPr>
          <w:p w14:paraId="40ECAA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pPr>
            <w:r>
              <w:rPr>
                <w:rFonts w:hint="eastAsia" w:ascii="黑体" w:hAnsi="宋体" w:eastAsia="黑体" w:cs="黑体"/>
                <w:spacing w:val="6"/>
                <w:sz w:val="28"/>
                <w:szCs w:val="28"/>
                <w:bdr w:val="none" w:color="auto" w:sz="0" w:space="0"/>
              </w:rPr>
              <w:t>有少部分劳动能力的残疾人员：</w:t>
            </w:r>
          </w:p>
          <w:p w14:paraId="075A5E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pPr>
            <w:r>
              <w:rPr>
                <w:rFonts w:hint="eastAsia" w:ascii="黑体" w:hAnsi="宋体" w:eastAsia="黑体" w:cs="黑体"/>
                <w:spacing w:val="6"/>
                <w:sz w:val="28"/>
                <w:szCs w:val="28"/>
                <w:bdr w:val="none" w:color="auto" w:sz="0" w:space="0"/>
              </w:rPr>
              <w:t>肢体残疾</w:t>
            </w:r>
            <w:r>
              <w:rPr>
                <w:spacing w:val="6"/>
                <w:sz w:val="28"/>
                <w:szCs w:val="28"/>
                <w:bdr w:val="none" w:color="auto" w:sz="0" w:space="0"/>
              </w:rPr>
              <w:t>3</w:t>
            </w:r>
            <w:r>
              <w:rPr>
                <w:rFonts w:hint="eastAsia" w:ascii="黑体" w:hAnsi="宋体" w:eastAsia="黑体" w:cs="黑体"/>
                <w:spacing w:val="6"/>
                <w:sz w:val="28"/>
                <w:szCs w:val="28"/>
                <w:bdr w:val="none" w:color="auto" w:sz="0" w:space="0"/>
              </w:rPr>
              <w:t>级；语言听力残疾</w:t>
            </w:r>
            <w:r>
              <w:rPr>
                <w:spacing w:val="6"/>
                <w:sz w:val="28"/>
                <w:szCs w:val="28"/>
                <w:bdr w:val="none" w:color="auto" w:sz="0" w:space="0"/>
              </w:rPr>
              <w:t>1</w:t>
            </w:r>
            <w:r>
              <w:rPr>
                <w:rFonts w:hint="eastAsia" w:ascii="黑体" w:hAnsi="宋体" w:eastAsia="黑体" w:cs="黑体"/>
                <w:spacing w:val="6"/>
                <w:sz w:val="28"/>
                <w:szCs w:val="28"/>
                <w:bdr w:val="none" w:color="auto" w:sz="0" w:space="0"/>
              </w:rPr>
              <w:t>、</w:t>
            </w:r>
            <w:r>
              <w:rPr>
                <w:spacing w:val="6"/>
                <w:sz w:val="28"/>
                <w:szCs w:val="28"/>
                <w:bdr w:val="none" w:color="auto" w:sz="0" w:space="0"/>
              </w:rPr>
              <w:t>2</w:t>
            </w:r>
            <w:r>
              <w:rPr>
                <w:rFonts w:hint="eastAsia" w:ascii="黑体" w:hAnsi="宋体" w:eastAsia="黑体" w:cs="黑体"/>
                <w:spacing w:val="6"/>
                <w:sz w:val="28"/>
                <w:szCs w:val="28"/>
                <w:bdr w:val="none" w:color="auto" w:sz="0" w:space="0"/>
              </w:rPr>
              <w:t>级；</w:t>
            </w:r>
          </w:p>
          <w:p w14:paraId="3A5BBF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pPr>
            <w:r>
              <w:rPr>
                <w:rFonts w:hint="eastAsia" w:ascii="黑体" w:hAnsi="宋体" w:eastAsia="黑体" w:cs="黑体"/>
                <w:spacing w:val="6"/>
                <w:sz w:val="28"/>
                <w:szCs w:val="28"/>
                <w:bdr w:val="none" w:color="auto" w:sz="0" w:space="0"/>
              </w:rPr>
              <w:t>视力残疾</w:t>
            </w:r>
            <w:r>
              <w:rPr>
                <w:spacing w:val="6"/>
                <w:sz w:val="28"/>
                <w:szCs w:val="28"/>
                <w:bdr w:val="none" w:color="auto" w:sz="0" w:space="0"/>
              </w:rPr>
              <w:t>3</w:t>
            </w:r>
            <w:r>
              <w:rPr>
                <w:rFonts w:hint="eastAsia" w:ascii="黑体" w:hAnsi="宋体" w:eastAsia="黑体" w:cs="黑体"/>
                <w:spacing w:val="6"/>
                <w:sz w:val="28"/>
                <w:szCs w:val="28"/>
                <w:bdr w:val="none" w:color="auto" w:sz="0" w:space="0"/>
              </w:rPr>
              <w:t>级；智力、精神</w:t>
            </w:r>
            <w:r>
              <w:rPr>
                <w:spacing w:val="6"/>
                <w:sz w:val="28"/>
                <w:szCs w:val="28"/>
                <w:bdr w:val="none" w:color="auto" w:sz="0" w:space="0"/>
              </w:rPr>
              <w:t>4</w:t>
            </w:r>
            <w:r>
              <w:rPr>
                <w:rFonts w:hint="eastAsia" w:ascii="黑体" w:hAnsi="宋体" w:eastAsia="黑体" w:cs="黑体"/>
                <w:spacing w:val="6"/>
                <w:sz w:val="28"/>
                <w:szCs w:val="28"/>
                <w:bdr w:val="none" w:color="auto" w:sz="0" w:space="0"/>
              </w:rPr>
              <w:t>级；</w:t>
            </w:r>
          </w:p>
        </w:tc>
        <w:tc>
          <w:tcPr>
            <w:tcW w:w="2555" w:type="dxa"/>
            <w:tcBorders>
              <w:top w:val="single" w:color="000000" w:sz="6" w:space="0"/>
              <w:left w:val="single" w:color="000000" w:sz="6" w:space="0"/>
              <w:bottom w:val="single" w:color="000000" w:sz="6" w:space="0"/>
              <w:right w:val="single" w:color="000000" w:sz="6" w:space="0"/>
            </w:tcBorders>
            <w:shd w:val="clear"/>
            <w:vAlign w:val="center"/>
          </w:tcPr>
          <w:p w14:paraId="2F33C5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spacing w:val="4"/>
                <w:sz w:val="28"/>
                <w:szCs w:val="28"/>
                <w:bdr w:val="none" w:color="auto" w:sz="0" w:space="0"/>
              </w:rPr>
              <w:t>D1</w:t>
            </w:r>
            <w:r>
              <w:rPr>
                <w:rFonts w:hint="eastAsia" w:ascii="仿宋_GB2312" w:eastAsia="仿宋_GB2312" w:cs="仿宋_GB2312"/>
                <w:spacing w:val="4"/>
                <w:sz w:val="28"/>
                <w:szCs w:val="28"/>
                <w:bdr w:val="none" w:color="auto" w:sz="0" w:space="0"/>
              </w:rPr>
              <w:t>：</w:t>
            </w:r>
            <w:r>
              <w:rPr>
                <w:spacing w:val="4"/>
                <w:sz w:val="28"/>
                <w:szCs w:val="28"/>
                <w:bdr w:val="none" w:color="auto" w:sz="0" w:space="0"/>
              </w:rPr>
              <w:t>0.4</w:t>
            </w:r>
          </w:p>
        </w:tc>
        <w:tc>
          <w:tcPr>
            <w:tcW w:w="1865" w:type="dxa"/>
            <w:tcBorders>
              <w:top w:val="single" w:color="000000" w:sz="6" w:space="0"/>
              <w:left w:val="single" w:color="000000" w:sz="6" w:space="0"/>
              <w:bottom w:val="single" w:color="000000" w:sz="6" w:space="0"/>
              <w:right w:val="single" w:color="000000" w:sz="6" w:space="0"/>
            </w:tcBorders>
            <w:shd w:val="clear"/>
            <w:vAlign w:val="center"/>
          </w:tcPr>
          <w:p w14:paraId="08EDE0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spacing w:val="4"/>
                <w:sz w:val="28"/>
                <w:szCs w:val="28"/>
                <w:bdr w:val="none" w:color="auto" w:sz="0" w:space="0"/>
              </w:rPr>
              <w:t>D2</w:t>
            </w:r>
            <w:r>
              <w:rPr>
                <w:rFonts w:hint="eastAsia" w:ascii="仿宋_GB2312" w:eastAsia="仿宋_GB2312" w:cs="仿宋_GB2312"/>
                <w:spacing w:val="4"/>
                <w:sz w:val="28"/>
                <w:szCs w:val="28"/>
                <w:bdr w:val="none" w:color="auto" w:sz="0" w:space="0"/>
              </w:rPr>
              <w:t>：</w:t>
            </w:r>
            <w:r>
              <w:rPr>
                <w:spacing w:val="4"/>
                <w:sz w:val="28"/>
                <w:szCs w:val="28"/>
                <w:bdr w:val="none" w:color="auto" w:sz="0" w:space="0"/>
              </w:rPr>
              <w:t>0.2</w:t>
            </w:r>
          </w:p>
        </w:tc>
        <w:tc>
          <w:tcPr>
            <w:tcW w:w="1870" w:type="dxa"/>
            <w:tcBorders>
              <w:top w:val="single" w:color="000000" w:sz="6" w:space="0"/>
              <w:left w:val="single" w:color="000000" w:sz="6" w:space="0"/>
              <w:bottom w:val="single" w:color="000000" w:sz="6" w:space="0"/>
              <w:right w:val="single" w:color="000000" w:sz="6" w:space="0"/>
            </w:tcBorders>
            <w:shd w:val="clear"/>
            <w:vAlign w:val="center"/>
          </w:tcPr>
          <w:p w14:paraId="20DCF4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spacing w:val="4"/>
                <w:sz w:val="28"/>
                <w:szCs w:val="28"/>
                <w:bdr w:val="none" w:color="auto" w:sz="0" w:space="0"/>
              </w:rPr>
              <w:t>D3</w:t>
            </w:r>
            <w:r>
              <w:rPr>
                <w:rFonts w:hint="eastAsia" w:ascii="仿宋_GB2312" w:eastAsia="仿宋_GB2312" w:cs="仿宋_GB2312"/>
                <w:spacing w:val="4"/>
                <w:sz w:val="28"/>
                <w:szCs w:val="28"/>
                <w:bdr w:val="none" w:color="auto" w:sz="0" w:space="0"/>
              </w:rPr>
              <w:t>：</w:t>
            </w:r>
            <w:r>
              <w:rPr>
                <w:spacing w:val="4"/>
                <w:sz w:val="28"/>
                <w:szCs w:val="28"/>
                <w:bdr w:val="none" w:color="auto" w:sz="0" w:space="0"/>
              </w:rPr>
              <w:t>0.1</w:t>
            </w:r>
          </w:p>
        </w:tc>
        <w:tc>
          <w:tcPr>
            <w:tcW w:w="1699" w:type="dxa"/>
            <w:tcBorders>
              <w:top w:val="single" w:color="000000" w:sz="6" w:space="0"/>
              <w:left w:val="single" w:color="000000" w:sz="6" w:space="0"/>
              <w:bottom w:val="single" w:color="000000" w:sz="6" w:space="0"/>
              <w:right w:val="single" w:color="000000" w:sz="6" w:space="0"/>
            </w:tcBorders>
            <w:shd w:val="clear"/>
            <w:vAlign w:val="center"/>
          </w:tcPr>
          <w:p w14:paraId="302348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spacing w:val="6"/>
                <w:sz w:val="28"/>
                <w:szCs w:val="28"/>
                <w:bdr w:val="none" w:color="auto" w:sz="0" w:space="0"/>
              </w:rPr>
              <w:t>D4</w:t>
            </w:r>
            <w:r>
              <w:rPr>
                <w:rFonts w:hint="eastAsia" w:ascii="仿宋_GB2312" w:eastAsia="仿宋_GB2312" w:cs="仿宋_GB2312"/>
                <w:spacing w:val="6"/>
                <w:sz w:val="28"/>
                <w:szCs w:val="28"/>
                <w:bdr w:val="none" w:color="auto" w:sz="0" w:space="0"/>
              </w:rPr>
              <w:t>：</w:t>
            </w:r>
            <w:r>
              <w:rPr>
                <w:spacing w:val="6"/>
                <w:sz w:val="28"/>
                <w:szCs w:val="28"/>
                <w:bdr w:val="none" w:color="auto" w:sz="0" w:space="0"/>
              </w:rPr>
              <w:t>0</w:t>
            </w:r>
          </w:p>
        </w:tc>
        <w:tc>
          <w:tcPr>
            <w:tcW w:w="1583" w:type="dxa"/>
            <w:tcBorders>
              <w:top w:val="single" w:color="000000" w:sz="6" w:space="0"/>
              <w:left w:val="single" w:color="000000" w:sz="6" w:space="0"/>
              <w:bottom w:val="single" w:color="000000" w:sz="6" w:space="0"/>
              <w:right w:val="single" w:color="000000" w:sz="6" w:space="0"/>
            </w:tcBorders>
            <w:shd w:val="clear"/>
            <w:vAlign w:val="center"/>
          </w:tcPr>
          <w:p w14:paraId="56D50D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spacing w:val="6"/>
                <w:sz w:val="28"/>
                <w:szCs w:val="28"/>
                <w:bdr w:val="none" w:color="auto" w:sz="0" w:space="0"/>
              </w:rPr>
              <w:t>D5</w:t>
            </w:r>
            <w:r>
              <w:rPr>
                <w:rFonts w:hint="eastAsia" w:ascii="仿宋_GB2312" w:eastAsia="仿宋_GB2312" w:cs="仿宋_GB2312"/>
                <w:spacing w:val="6"/>
                <w:sz w:val="28"/>
                <w:szCs w:val="28"/>
                <w:bdr w:val="none" w:color="auto" w:sz="0" w:space="0"/>
              </w:rPr>
              <w:t>：</w:t>
            </w:r>
            <w:r>
              <w:rPr>
                <w:spacing w:val="6"/>
                <w:sz w:val="28"/>
                <w:szCs w:val="28"/>
                <w:bdr w:val="none" w:color="auto" w:sz="0" w:space="0"/>
              </w:rPr>
              <w:t>0</w:t>
            </w:r>
          </w:p>
        </w:tc>
      </w:tr>
      <w:tr w14:paraId="1CD204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283" w:hRule="atLeast"/>
        </w:trPr>
        <w:tc>
          <w:tcPr>
            <w:tcW w:w="4602" w:type="dxa"/>
            <w:gridSpan w:val="2"/>
            <w:tcBorders>
              <w:top w:val="single" w:color="000000" w:sz="6" w:space="0"/>
              <w:left w:val="single" w:color="000000" w:sz="6" w:space="0"/>
              <w:bottom w:val="single" w:color="000000" w:sz="6" w:space="0"/>
              <w:right w:val="single" w:color="000000" w:sz="6" w:space="0"/>
            </w:tcBorders>
            <w:shd w:val="clear"/>
            <w:vAlign w:val="center"/>
          </w:tcPr>
          <w:p w14:paraId="2B3A6A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pPr>
            <w:r>
              <w:rPr>
                <w:rFonts w:hint="eastAsia" w:ascii="黑体" w:hAnsi="宋体" w:eastAsia="黑体" w:cs="黑体"/>
                <w:spacing w:val="6"/>
                <w:sz w:val="28"/>
                <w:szCs w:val="28"/>
                <w:bdr w:val="none" w:color="auto" w:sz="0" w:space="0"/>
              </w:rPr>
              <w:t>完全丧失劳动能力的人员：</w:t>
            </w:r>
          </w:p>
          <w:p w14:paraId="63DB3A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pPr>
            <w:r>
              <w:rPr>
                <w:rFonts w:hint="eastAsia" w:ascii="黑体" w:hAnsi="宋体" w:eastAsia="黑体" w:cs="黑体"/>
                <w:spacing w:val="6"/>
                <w:sz w:val="28"/>
                <w:szCs w:val="28"/>
                <w:bdr w:val="none" w:color="auto" w:sz="0" w:space="0"/>
              </w:rPr>
              <w:t>肢体残疾</w:t>
            </w:r>
            <w:r>
              <w:rPr>
                <w:spacing w:val="6"/>
                <w:sz w:val="28"/>
                <w:szCs w:val="28"/>
                <w:bdr w:val="none" w:color="auto" w:sz="0" w:space="0"/>
              </w:rPr>
              <w:t>1</w:t>
            </w:r>
            <w:r>
              <w:rPr>
                <w:rFonts w:hint="eastAsia" w:ascii="黑体" w:hAnsi="宋体" w:eastAsia="黑体" w:cs="黑体"/>
                <w:spacing w:val="6"/>
                <w:sz w:val="28"/>
                <w:szCs w:val="28"/>
                <w:bdr w:val="none" w:color="auto" w:sz="0" w:space="0"/>
              </w:rPr>
              <w:t>、</w:t>
            </w:r>
            <w:r>
              <w:rPr>
                <w:spacing w:val="6"/>
                <w:sz w:val="28"/>
                <w:szCs w:val="28"/>
                <w:bdr w:val="none" w:color="auto" w:sz="0" w:space="0"/>
              </w:rPr>
              <w:t>2</w:t>
            </w:r>
            <w:r>
              <w:rPr>
                <w:rFonts w:hint="eastAsia" w:ascii="黑体" w:hAnsi="宋体" w:eastAsia="黑体" w:cs="黑体"/>
                <w:spacing w:val="6"/>
                <w:sz w:val="28"/>
                <w:szCs w:val="28"/>
                <w:bdr w:val="none" w:color="auto" w:sz="0" w:space="0"/>
              </w:rPr>
              <w:t>级；智力、精神残疾</w:t>
            </w:r>
            <w:r>
              <w:rPr>
                <w:spacing w:val="6"/>
                <w:sz w:val="28"/>
                <w:szCs w:val="28"/>
                <w:bdr w:val="none" w:color="auto" w:sz="0" w:space="0"/>
              </w:rPr>
              <w:t>1</w:t>
            </w:r>
            <w:r>
              <w:rPr>
                <w:rFonts w:hint="eastAsia" w:ascii="黑体" w:hAnsi="宋体" w:eastAsia="黑体" w:cs="黑体"/>
                <w:spacing w:val="6"/>
                <w:sz w:val="28"/>
                <w:szCs w:val="28"/>
                <w:bdr w:val="none" w:color="auto" w:sz="0" w:space="0"/>
              </w:rPr>
              <w:t>、</w:t>
            </w:r>
            <w:r>
              <w:rPr>
                <w:spacing w:val="6"/>
                <w:sz w:val="28"/>
                <w:szCs w:val="28"/>
                <w:bdr w:val="none" w:color="auto" w:sz="0" w:space="0"/>
              </w:rPr>
              <w:t>2</w:t>
            </w:r>
            <w:r>
              <w:rPr>
                <w:rFonts w:hint="eastAsia" w:ascii="黑体" w:hAnsi="宋体" w:eastAsia="黑体" w:cs="黑体"/>
                <w:spacing w:val="6"/>
                <w:sz w:val="28"/>
                <w:szCs w:val="28"/>
                <w:bdr w:val="none" w:color="auto" w:sz="0" w:space="0"/>
              </w:rPr>
              <w:t>、</w:t>
            </w:r>
            <w:r>
              <w:rPr>
                <w:spacing w:val="6"/>
                <w:sz w:val="28"/>
                <w:szCs w:val="28"/>
                <w:bdr w:val="none" w:color="auto" w:sz="0" w:space="0"/>
              </w:rPr>
              <w:t>3</w:t>
            </w:r>
            <w:r>
              <w:rPr>
                <w:rFonts w:hint="eastAsia" w:ascii="黑体" w:hAnsi="宋体" w:eastAsia="黑体" w:cs="黑体"/>
                <w:spacing w:val="6"/>
                <w:sz w:val="28"/>
                <w:szCs w:val="28"/>
                <w:bdr w:val="none" w:color="auto" w:sz="0" w:space="0"/>
              </w:rPr>
              <w:t>级；视力残疾</w:t>
            </w:r>
            <w:r>
              <w:rPr>
                <w:spacing w:val="6"/>
                <w:sz w:val="28"/>
                <w:szCs w:val="28"/>
                <w:bdr w:val="none" w:color="auto" w:sz="0" w:space="0"/>
              </w:rPr>
              <w:t>1</w:t>
            </w:r>
            <w:r>
              <w:rPr>
                <w:rFonts w:hint="eastAsia" w:ascii="黑体" w:hAnsi="宋体" w:eastAsia="黑体" w:cs="黑体"/>
                <w:spacing w:val="6"/>
                <w:sz w:val="28"/>
                <w:szCs w:val="28"/>
                <w:bdr w:val="none" w:color="auto" w:sz="0" w:space="0"/>
              </w:rPr>
              <w:t>、</w:t>
            </w:r>
            <w:r>
              <w:rPr>
                <w:spacing w:val="6"/>
                <w:sz w:val="28"/>
                <w:szCs w:val="28"/>
                <w:bdr w:val="none" w:color="auto" w:sz="0" w:space="0"/>
              </w:rPr>
              <w:t>2</w:t>
            </w:r>
            <w:r>
              <w:rPr>
                <w:rFonts w:hint="eastAsia" w:ascii="黑体" w:hAnsi="宋体" w:eastAsia="黑体" w:cs="黑体"/>
                <w:spacing w:val="6"/>
                <w:sz w:val="28"/>
                <w:szCs w:val="28"/>
                <w:bdr w:val="none" w:color="auto" w:sz="0" w:space="0"/>
              </w:rPr>
              <w:t>级</w:t>
            </w:r>
          </w:p>
        </w:tc>
        <w:tc>
          <w:tcPr>
            <w:tcW w:w="2555" w:type="dxa"/>
            <w:tcBorders>
              <w:top w:val="single" w:color="000000" w:sz="6" w:space="0"/>
              <w:left w:val="single" w:color="000000" w:sz="6" w:space="0"/>
              <w:bottom w:val="single" w:color="000000" w:sz="6" w:space="0"/>
              <w:right w:val="single" w:color="000000" w:sz="6" w:space="0"/>
            </w:tcBorders>
            <w:shd w:val="clear"/>
            <w:vAlign w:val="center"/>
          </w:tcPr>
          <w:p w14:paraId="690A30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spacing w:val="6"/>
                <w:sz w:val="28"/>
                <w:szCs w:val="28"/>
                <w:bdr w:val="none" w:color="auto" w:sz="0" w:space="0"/>
              </w:rPr>
              <w:t>E1</w:t>
            </w:r>
            <w:r>
              <w:rPr>
                <w:rFonts w:hint="eastAsia" w:ascii="仿宋_GB2312" w:eastAsia="仿宋_GB2312" w:cs="仿宋_GB2312"/>
                <w:spacing w:val="6"/>
                <w:sz w:val="28"/>
                <w:szCs w:val="28"/>
                <w:bdr w:val="none" w:color="auto" w:sz="0" w:space="0"/>
              </w:rPr>
              <w:t>：</w:t>
            </w:r>
            <w:r>
              <w:rPr>
                <w:spacing w:val="6"/>
                <w:sz w:val="28"/>
                <w:szCs w:val="28"/>
                <w:bdr w:val="none" w:color="auto" w:sz="0" w:space="0"/>
              </w:rPr>
              <w:t>0</w:t>
            </w:r>
          </w:p>
        </w:tc>
        <w:tc>
          <w:tcPr>
            <w:tcW w:w="1865" w:type="dxa"/>
            <w:tcBorders>
              <w:top w:val="single" w:color="000000" w:sz="6" w:space="0"/>
              <w:left w:val="single" w:color="000000" w:sz="6" w:space="0"/>
              <w:bottom w:val="single" w:color="000000" w:sz="6" w:space="0"/>
              <w:right w:val="single" w:color="000000" w:sz="6" w:space="0"/>
            </w:tcBorders>
            <w:shd w:val="clear"/>
            <w:vAlign w:val="center"/>
          </w:tcPr>
          <w:p w14:paraId="022C03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spacing w:val="6"/>
                <w:sz w:val="28"/>
                <w:szCs w:val="28"/>
                <w:bdr w:val="none" w:color="auto" w:sz="0" w:space="0"/>
              </w:rPr>
              <w:t>E2</w:t>
            </w:r>
            <w:r>
              <w:rPr>
                <w:rFonts w:hint="eastAsia" w:ascii="仿宋_GB2312" w:eastAsia="仿宋_GB2312" w:cs="仿宋_GB2312"/>
                <w:spacing w:val="6"/>
                <w:sz w:val="28"/>
                <w:szCs w:val="28"/>
                <w:bdr w:val="none" w:color="auto" w:sz="0" w:space="0"/>
              </w:rPr>
              <w:t>：</w:t>
            </w:r>
            <w:r>
              <w:rPr>
                <w:spacing w:val="6"/>
                <w:sz w:val="28"/>
                <w:szCs w:val="28"/>
                <w:bdr w:val="none" w:color="auto" w:sz="0" w:space="0"/>
              </w:rPr>
              <w:t>0</w:t>
            </w:r>
          </w:p>
        </w:tc>
        <w:tc>
          <w:tcPr>
            <w:tcW w:w="1870" w:type="dxa"/>
            <w:tcBorders>
              <w:top w:val="single" w:color="000000" w:sz="6" w:space="0"/>
              <w:left w:val="single" w:color="000000" w:sz="6" w:space="0"/>
              <w:bottom w:val="single" w:color="000000" w:sz="6" w:space="0"/>
              <w:right w:val="single" w:color="000000" w:sz="6" w:space="0"/>
            </w:tcBorders>
            <w:shd w:val="clear"/>
            <w:vAlign w:val="center"/>
          </w:tcPr>
          <w:p w14:paraId="48F419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spacing w:val="6"/>
                <w:sz w:val="28"/>
                <w:szCs w:val="28"/>
                <w:bdr w:val="none" w:color="auto" w:sz="0" w:space="0"/>
              </w:rPr>
              <w:t>E3</w:t>
            </w:r>
            <w:r>
              <w:rPr>
                <w:rFonts w:hint="eastAsia" w:ascii="仿宋_GB2312" w:eastAsia="仿宋_GB2312" w:cs="仿宋_GB2312"/>
                <w:spacing w:val="6"/>
                <w:sz w:val="28"/>
                <w:szCs w:val="28"/>
                <w:bdr w:val="none" w:color="auto" w:sz="0" w:space="0"/>
              </w:rPr>
              <w:t>：</w:t>
            </w:r>
            <w:r>
              <w:rPr>
                <w:spacing w:val="6"/>
                <w:sz w:val="28"/>
                <w:szCs w:val="28"/>
                <w:bdr w:val="none" w:color="auto" w:sz="0" w:space="0"/>
              </w:rPr>
              <w:t>0</w:t>
            </w:r>
          </w:p>
        </w:tc>
        <w:tc>
          <w:tcPr>
            <w:tcW w:w="1699" w:type="dxa"/>
            <w:tcBorders>
              <w:top w:val="single" w:color="000000" w:sz="6" w:space="0"/>
              <w:left w:val="single" w:color="000000" w:sz="6" w:space="0"/>
              <w:bottom w:val="single" w:color="000000" w:sz="6" w:space="0"/>
              <w:right w:val="single" w:color="000000" w:sz="6" w:space="0"/>
            </w:tcBorders>
            <w:shd w:val="clear"/>
            <w:vAlign w:val="center"/>
          </w:tcPr>
          <w:p w14:paraId="2F6E7C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spacing w:val="6"/>
                <w:sz w:val="28"/>
                <w:szCs w:val="28"/>
                <w:bdr w:val="none" w:color="auto" w:sz="0" w:space="0"/>
              </w:rPr>
              <w:t>E4</w:t>
            </w:r>
            <w:r>
              <w:rPr>
                <w:rFonts w:hint="eastAsia" w:ascii="仿宋_GB2312" w:eastAsia="仿宋_GB2312" w:cs="仿宋_GB2312"/>
                <w:spacing w:val="6"/>
                <w:sz w:val="28"/>
                <w:szCs w:val="28"/>
                <w:bdr w:val="none" w:color="auto" w:sz="0" w:space="0"/>
              </w:rPr>
              <w:t>：</w:t>
            </w:r>
            <w:r>
              <w:rPr>
                <w:spacing w:val="6"/>
                <w:sz w:val="28"/>
                <w:szCs w:val="28"/>
                <w:bdr w:val="none" w:color="auto" w:sz="0" w:space="0"/>
              </w:rPr>
              <w:t>0</w:t>
            </w:r>
          </w:p>
        </w:tc>
        <w:tc>
          <w:tcPr>
            <w:tcW w:w="1583" w:type="dxa"/>
            <w:tcBorders>
              <w:top w:val="single" w:color="000000" w:sz="6" w:space="0"/>
              <w:left w:val="single" w:color="000000" w:sz="6" w:space="0"/>
              <w:bottom w:val="single" w:color="000000" w:sz="6" w:space="0"/>
              <w:right w:val="single" w:color="000000" w:sz="6" w:space="0"/>
            </w:tcBorders>
            <w:shd w:val="clear"/>
            <w:vAlign w:val="center"/>
          </w:tcPr>
          <w:p w14:paraId="65A8DE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spacing w:val="6"/>
                <w:sz w:val="28"/>
                <w:szCs w:val="28"/>
                <w:bdr w:val="none" w:color="auto" w:sz="0" w:space="0"/>
              </w:rPr>
              <w:t>E5</w:t>
            </w:r>
            <w:r>
              <w:rPr>
                <w:rFonts w:hint="eastAsia" w:ascii="仿宋_GB2312" w:eastAsia="仿宋_GB2312" w:cs="仿宋_GB2312"/>
                <w:spacing w:val="6"/>
                <w:sz w:val="28"/>
                <w:szCs w:val="28"/>
                <w:bdr w:val="none" w:color="auto" w:sz="0" w:space="0"/>
              </w:rPr>
              <w:t>：</w:t>
            </w:r>
            <w:r>
              <w:rPr>
                <w:spacing w:val="6"/>
                <w:sz w:val="28"/>
                <w:szCs w:val="28"/>
                <w:bdr w:val="none" w:color="auto" w:sz="0" w:space="0"/>
              </w:rPr>
              <w:t>0</w:t>
            </w:r>
          </w:p>
        </w:tc>
      </w:tr>
      <w:tr w14:paraId="4A40EF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007" w:hRule="atLeast"/>
        </w:trPr>
        <w:tc>
          <w:tcPr>
            <w:tcW w:w="4602" w:type="dxa"/>
            <w:gridSpan w:val="2"/>
            <w:tcBorders>
              <w:top w:val="single" w:color="000000" w:sz="6" w:space="0"/>
              <w:left w:val="single" w:color="000000" w:sz="6" w:space="0"/>
              <w:bottom w:val="single" w:color="000000" w:sz="6" w:space="0"/>
              <w:right w:val="single" w:color="000000" w:sz="6" w:space="0"/>
            </w:tcBorders>
            <w:shd w:val="clear"/>
            <w:vAlign w:val="center"/>
          </w:tcPr>
          <w:p w14:paraId="0080DD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pPr>
            <w:r>
              <w:rPr>
                <w:rFonts w:hint="eastAsia" w:ascii="黑体" w:hAnsi="宋体" w:eastAsia="黑体" w:cs="黑体"/>
                <w:spacing w:val="8"/>
                <w:sz w:val="28"/>
                <w:szCs w:val="28"/>
                <w:bdr w:val="none" w:color="auto" w:sz="0" w:space="0"/>
              </w:rPr>
              <w:t>重特大疾病人员</w:t>
            </w:r>
          </w:p>
        </w:tc>
        <w:tc>
          <w:tcPr>
            <w:tcW w:w="2555" w:type="dxa"/>
            <w:tcBorders>
              <w:top w:val="single" w:color="000000" w:sz="6" w:space="0"/>
              <w:left w:val="single" w:color="000000" w:sz="6" w:space="0"/>
              <w:bottom w:val="single" w:color="000000" w:sz="6" w:space="0"/>
              <w:right w:val="single" w:color="000000" w:sz="6" w:space="0"/>
            </w:tcBorders>
            <w:shd w:val="clear"/>
            <w:vAlign w:val="center"/>
          </w:tcPr>
          <w:p w14:paraId="08169F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spacing w:val="6"/>
                <w:sz w:val="28"/>
                <w:szCs w:val="28"/>
                <w:bdr w:val="none" w:color="auto" w:sz="0" w:space="0"/>
              </w:rPr>
              <w:t>F1</w:t>
            </w:r>
            <w:r>
              <w:rPr>
                <w:rFonts w:hint="eastAsia" w:ascii="仿宋_GB2312" w:eastAsia="仿宋_GB2312" w:cs="仿宋_GB2312"/>
                <w:spacing w:val="6"/>
                <w:sz w:val="28"/>
                <w:szCs w:val="28"/>
                <w:bdr w:val="none" w:color="auto" w:sz="0" w:space="0"/>
              </w:rPr>
              <w:t>：</w:t>
            </w:r>
            <w:r>
              <w:rPr>
                <w:spacing w:val="6"/>
                <w:sz w:val="28"/>
                <w:szCs w:val="28"/>
                <w:bdr w:val="none" w:color="auto" w:sz="0" w:space="0"/>
              </w:rPr>
              <w:t>0</w:t>
            </w:r>
          </w:p>
        </w:tc>
        <w:tc>
          <w:tcPr>
            <w:tcW w:w="1865" w:type="dxa"/>
            <w:tcBorders>
              <w:top w:val="single" w:color="000000" w:sz="6" w:space="0"/>
              <w:left w:val="single" w:color="000000" w:sz="6" w:space="0"/>
              <w:bottom w:val="single" w:color="000000" w:sz="6" w:space="0"/>
              <w:right w:val="single" w:color="000000" w:sz="6" w:space="0"/>
            </w:tcBorders>
            <w:shd w:val="clear"/>
            <w:vAlign w:val="center"/>
          </w:tcPr>
          <w:p w14:paraId="7F7B7B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spacing w:val="6"/>
                <w:sz w:val="28"/>
                <w:szCs w:val="28"/>
                <w:bdr w:val="none" w:color="auto" w:sz="0" w:space="0"/>
              </w:rPr>
              <w:t>F2</w:t>
            </w:r>
            <w:r>
              <w:rPr>
                <w:rFonts w:hint="eastAsia" w:ascii="仿宋_GB2312" w:eastAsia="仿宋_GB2312" w:cs="仿宋_GB2312"/>
                <w:spacing w:val="6"/>
                <w:sz w:val="28"/>
                <w:szCs w:val="28"/>
                <w:bdr w:val="none" w:color="auto" w:sz="0" w:space="0"/>
              </w:rPr>
              <w:t>：</w:t>
            </w:r>
            <w:r>
              <w:rPr>
                <w:spacing w:val="6"/>
                <w:sz w:val="28"/>
                <w:szCs w:val="28"/>
                <w:bdr w:val="none" w:color="auto" w:sz="0" w:space="0"/>
              </w:rPr>
              <w:t>0</w:t>
            </w:r>
          </w:p>
        </w:tc>
        <w:tc>
          <w:tcPr>
            <w:tcW w:w="1870" w:type="dxa"/>
            <w:tcBorders>
              <w:top w:val="single" w:color="000000" w:sz="6" w:space="0"/>
              <w:left w:val="single" w:color="000000" w:sz="6" w:space="0"/>
              <w:bottom w:val="single" w:color="000000" w:sz="6" w:space="0"/>
              <w:right w:val="single" w:color="000000" w:sz="6" w:space="0"/>
            </w:tcBorders>
            <w:shd w:val="clear"/>
            <w:vAlign w:val="center"/>
          </w:tcPr>
          <w:p w14:paraId="339088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spacing w:val="6"/>
                <w:sz w:val="28"/>
                <w:szCs w:val="28"/>
                <w:bdr w:val="none" w:color="auto" w:sz="0" w:space="0"/>
              </w:rPr>
              <w:t>F3</w:t>
            </w:r>
            <w:r>
              <w:rPr>
                <w:rFonts w:hint="eastAsia" w:ascii="仿宋_GB2312" w:eastAsia="仿宋_GB2312" w:cs="仿宋_GB2312"/>
                <w:spacing w:val="6"/>
                <w:sz w:val="28"/>
                <w:szCs w:val="28"/>
                <w:bdr w:val="none" w:color="auto" w:sz="0" w:space="0"/>
              </w:rPr>
              <w:t>：</w:t>
            </w:r>
            <w:r>
              <w:rPr>
                <w:spacing w:val="6"/>
                <w:sz w:val="28"/>
                <w:szCs w:val="28"/>
                <w:bdr w:val="none" w:color="auto" w:sz="0" w:space="0"/>
              </w:rPr>
              <w:t>0</w:t>
            </w:r>
          </w:p>
        </w:tc>
        <w:tc>
          <w:tcPr>
            <w:tcW w:w="1699" w:type="dxa"/>
            <w:tcBorders>
              <w:top w:val="single" w:color="000000" w:sz="6" w:space="0"/>
              <w:left w:val="single" w:color="000000" w:sz="6" w:space="0"/>
              <w:bottom w:val="single" w:color="000000" w:sz="6" w:space="0"/>
              <w:right w:val="single" w:color="000000" w:sz="6" w:space="0"/>
            </w:tcBorders>
            <w:shd w:val="clear"/>
            <w:vAlign w:val="center"/>
          </w:tcPr>
          <w:p w14:paraId="2B72F6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spacing w:val="6"/>
                <w:sz w:val="28"/>
                <w:szCs w:val="28"/>
                <w:bdr w:val="none" w:color="auto" w:sz="0" w:space="0"/>
              </w:rPr>
              <w:t>F4</w:t>
            </w:r>
            <w:r>
              <w:rPr>
                <w:rFonts w:hint="eastAsia" w:ascii="仿宋_GB2312" w:eastAsia="仿宋_GB2312" w:cs="仿宋_GB2312"/>
                <w:spacing w:val="6"/>
                <w:sz w:val="28"/>
                <w:szCs w:val="28"/>
                <w:bdr w:val="none" w:color="auto" w:sz="0" w:space="0"/>
              </w:rPr>
              <w:t>：</w:t>
            </w:r>
            <w:r>
              <w:rPr>
                <w:spacing w:val="6"/>
                <w:sz w:val="28"/>
                <w:szCs w:val="28"/>
                <w:bdr w:val="none" w:color="auto" w:sz="0" w:space="0"/>
              </w:rPr>
              <w:t>0</w:t>
            </w:r>
          </w:p>
        </w:tc>
        <w:tc>
          <w:tcPr>
            <w:tcW w:w="1583" w:type="dxa"/>
            <w:tcBorders>
              <w:top w:val="single" w:color="000000" w:sz="6" w:space="0"/>
              <w:left w:val="single" w:color="000000" w:sz="6" w:space="0"/>
              <w:bottom w:val="single" w:color="000000" w:sz="6" w:space="0"/>
              <w:right w:val="single" w:color="000000" w:sz="6" w:space="0"/>
            </w:tcBorders>
            <w:shd w:val="clear"/>
            <w:vAlign w:val="center"/>
          </w:tcPr>
          <w:p w14:paraId="249D57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spacing w:val="6"/>
                <w:sz w:val="28"/>
                <w:szCs w:val="28"/>
                <w:bdr w:val="none" w:color="auto" w:sz="0" w:space="0"/>
              </w:rPr>
              <w:t>F5</w:t>
            </w:r>
            <w:r>
              <w:rPr>
                <w:rFonts w:hint="eastAsia" w:ascii="仿宋_GB2312" w:eastAsia="仿宋_GB2312" w:cs="仿宋_GB2312"/>
                <w:spacing w:val="6"/>
                <w:sz w:val="28"/>
                <w:szCs w:val="28"/>
                <w:bdr w:val="none" w:color="auto" w:sz="0" w:space="0"/>
              </w:rPr>
              <w:t>：</w:t>
            </w:r>
            <w:r>
              <w:rPr>
                <w:spacing w:val="6"/>
                <w:sz w:val="28"/>
                <w:szCs w:val="28"/>
                <w:bdr w:val="none" w:color="auto" w:sz="0" w:space="0"/>
              </w:rPr>
              <w:t>0</w:t>
            </w:r>
          </w:p>
        </w:tc>
      </w:tr>
      <w:tr w14:paraId="5FACCA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036" w:hRule="atLeast"/>
        </w:trPr>
        <w:tc>
          <w:tcPr>
            <w:tcW w:w="1630" w:type="dxa"/>
            <w:tcBorders>
              <w:top w:val="single" w:color="000000" w:sz="6" w:space="0"/>
              <w:left w:val="single" w:color="000000" w:sz="6" w:space="0"/>
              <w:bottom w:val="single" w:color="000000" w:sz="6" w:space="0"/>
              <w:right w:val="single" w:color="000000" w:sz="6" w:space="0"/>
            </w:tcBorders>
            <w:shd w:val="clear"/>
            <w:vAlign w:val="center"/>
          </w:tcPr>
          <w:p w14:paraId="126668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7" w:right="0" w:hanging="7"/>
            </w:pPr>
            <w:r>
              <w:rPr>
                <w:rFonts w:hint="eastAsia" w:ascii="黑体" w:hAnsi="宋体" w:eastAsia="黑体" w:cs="黑体"/>
                <w:spacing w:val="35"/>
                <w:sz w:val="28"/>
                <w:szCs w:val="28"/>
                <w:bdr w:val="none" w:color="auto" w:sz="0" w:space="0"/>
              </w:rPr>
              <w:t>特殊困难家庭</w:t>
            </w:r>
            <w:r>
              <w:rPr>
                <w:rFonts w:hint="eastAsia" w:ascii="黑体" w:hAnsi="宋体" w:eastAsia="黑体" w:cs="黑体"/>
                <w:spacing w:val="7"/>
                <w:sz w:val="28"/>
                <w:szCs w:val="28"/>
                <w:bdr w:val="none" w:color="auto" w:sz="0" w:space="0"/>
              </w:rPr>
              <w:t>收入扣减项</w:t>
            </w:r>
            <w:r>
              <w:rPr>
                <w:rFonts w:hint="eastAsia" w:ascii="黑体" w:hAnsi="宋体" w:eastAsia="黑体" w:cs="黑体"/>
                <w:spacing w:val="7"/>
                <w:bdr w:val="none" w:color="auto" w:sz="0" w:space="0"/>
              </w:rPr>
              <w:t>目</w:t>
            </w:r>
          </w:p>
        </w:tc>
        <w:tc>
          <w:tcPr>
            <w:tcW w:w="5527" w:type="dxa"/>
            <w:gridSpan w:val="2"/>
            <w:tcBorders>
              <w:top w:val="single" w:color="000000" w:sz="6" w:space="0"/>
              <w:left w:val="single" w:color="000000" w:sz="6" w:space="0"/>
              <w:bottom w:val="single" w:color="000000" w:sz="6" w:space="0"/>
              <w:right w:val="single" w:color="000000" w:sz="6" w:space="0"/>
            </w:tcBorders>
            <w:shd w:val="clear"/>
            <w:vAlign w:val="center"/>
          </w:tcPr>
          <w:p w14:paraId="19EAB7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14"/>
            </w:pPr>
            <w:r>
              <w:rPr>
                <w:spacing w:val="12"/>
                <w:sz w:val="28"/>
                <w:szCs w:val="28"/>
                <w:bdr w:val="none" w:color="auto" w:sz="0" w:space="0"/>
              </w:rPr>
              <w:t>1.</w:t>
            </w:r>
            <w:r>
              <w:rPr>
                <w:rFonts w:hint="eastAsia" w:ascii="仿宋_GB2312" w:eastAsia="仿宋_GB2312" w:cs="仿宋_GB2312"/>
                <w:spacing w:val="12"/>
                <w:sz w:val="28"/>
                <w:szCs w:val="28"/>
                <w:bdr w:val="none" w:color="auto" w:sz="0" w:space="0"/>
              </w:rPr>
              <w:t>长期共同生活的家庭成员中，有需要照顾的完全丧失劳</w:t>
            </w:r>
            <w:r>
              <w:rPr>
                <w:rFonts w:hint="eastAsia" w:ascii="仿宋_GB2312" w:eastAsia="仿宋_GB2312" w:cs="仿宋_GB2312"/>
                <w:spacing w:val="6"/>
                <w:sz w:val="28"/>
                <w:szCs w:val="28"/>
                <w:bdr w:val="none" w:color="auto" w:sz="0" w:space="0"/>
              </w:rPr>
              <w:t>动能力的重残人员、重病患者；</w:t>
            </w:r>
          </w:p>
          <w:p w14:paraId="03E3E8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pPr>
            <w:r>
              <w:rPr>
                <w:spacing w:val="7"/>
                <w:sz w:val="28"/>
                <w:szCs w:val="28"/>
                <w:bdr w:val="none" w:color="auto" w:sz="0" w:space="0"/>
              </w:rPr>
              <w:t>2.</w:t>
            </w:r>
            <w:r>
              <w:rPr>
                <w:rFonts w:hint="eastAsia" w:ascii="仿宋_GB2312" w:eastAsia="仿宋_GB2312" w:cs="仿宋_GB2312"/>
                <w:spacing w:val="7"/>
                <w:sz w:val="28"/>
                <w:szCs w:val="28"/>
                <w:bdr w:val="none" w:color="auto" w:sz="0" w:space="0"/>
              </w:rPr>
              <w:t>有未成年人的丧偶单亲家庭；</w:t>
            </w:r>
          </w:p>
          <w:p w14:paraId="2BCA9F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pPr>
            <w:r>
              <w:rPr>
                <w:spacing w:val="5"/>
                <w:sz w:val="28"/>
                <w:szCs w:val="28"/>
                <w:bdr w:val="none" w:color="auto" w:sz="0" w:space="0"/>
              </w:rPr>
              <w:t>3.</w:t>
            </w:r>
            <w:r>
              <w:rPr>
                <w:rFonts w:hint="eastAsia" w:ascii="仿宋_GB2312" w:eastAsia="仿宋_GB2312" w:cs="仿宋_GB2312"/>
                <w:spacing w:val="5"/>
                <w:sz w:val="28"/>
                <w:szCs w:val="28"/>
                <w:bdr w:val="none" w:color="auto" w:sz="0" w:space="0"/>
              </w:rPr>
              <w:t>一户多残、多重残疾家庭；</w:t>
            </w:r>
          </w:p>
          <w:p w14:paraId="2449BE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5" w:right="0" w:hanging="5"/>
            </w:pPr>
            <w:r>
              <w:rPr>
                <w:spacing w:val="3"/>
                <w:sz w:val="28"/>
                <w:szCs w:val="28"/>
                <w:bdr w:val="none" w:color="auto" w:sz="0" w:space="0"/>
              </w:rPr>
              <w:t>4.65</w:t>
            </w:r>
            <w:r>
              <w:rPr>
                <w:rFonts w:hint="eastAsia" w:ascii="仿宋_GB2312" w:eastAsia="仿宋_GB2312" w:cs="仿宋_GB2312"/>
                <w:spacing w:val="3"/>
                <w:sz w:val="28"/>
                <w:szCs w:val="28"/>
                <w:bdr w:val="none" w:color="auto" w:sz="0" w:space="0"/>
              </w:rPr>
              <w:t>周岁（含）以上丧偶家庭，</w:t>
            </w:r>
            <w:r>
              <w:rPr>
                <w:spacing w:val="3"/>
                <w:sz w:val="28"/>
                <w:szCs w:val="28"/>
                <w:bdr w:val="none" w:color="auto" w:sz="0" w:space="0"/>
              </w:rPr>
              <w:t>70</w:t>
            </w:r>
            <w:r>
              <w:rPr>
                <w:rFonts w:hint="eastAsia" w:ascii="仿宋_GB2312" w:eastAsia="仿宋_GB2312" w:cs="仿宋_GB2312"/>
                <w:spacing w:val="3"/>
                <w:sz w:val="28"/>
                <w:szCs w:val="28"/>
                <w:bdr w:val="none" w:color="auto" w:sz="0" w:space="0"/>
              </w:rPr>
              <w:t>周岁（含）以上家</w:t>
            </w:r>
            <w:r>
              <w:rPr>
                <w:rFonts w:hint="eastAsia" w:ascii="仿宋_GB2312" w:eastAsia="仿宋_GB2312" w:cs="仿宋_GB2312"/>
                <w:spacing w:val="2"/>
                <w:sz w:val="28"/>
                <w:szCs w:val="28"/>
                <w:bdr w:val="none" w:color="auto" w:sz="0" w:space="0"/>
              </w:rPr>
              <w:t>庭；</w:t>
            </w:r>
            <w:r>
              <w:rPr>
                <w:spacing w:val="8"/>
                <w:sz w:val="28"/>
                <w:szCs w:val="28"/>
                <w:bdr w:val="none" w:color="auto" w:sz="0" w:space="0"/>
              </w:rPr>
              <w:t>5.</w:t>
            </w:r>
            <w:r>
              <w:rPr>
                <w:rFonts w:hint="eastAsia" w:ascii="仿宋_GB2312" w:eastAsia="仿宋_GB2312" w:cs="仿宋_GB2312"/>
                <w:spacing w:val="8"/>
                <w:sz w:val="28"/>
                <w:szCs w:val="28"/>
                <w:bdr w:val="none" w:color="auto" w:sz="0" w:space="0"/>
              </w:rPr>
              <w:t>两个及以上本（专）科在读家庭。</w:t>
            </w:r>
          </w:p>
        </w:tc>
        <w:tc>
          <w:tcPr>
            <w:tcW w:w="1865" w:type="dxa"/>
            <w:tcBorders>
              <w:top w:val="single" w:color="000000" w:sz="6" w:space="0"/>
              <w:left w:val="single" w:color="000000" w:sz="6" w:space="0"/>
              <w:bottom w:val="single" w:color="000000" w:sz="6" w:space="0"/>
              <w:right w:val="single" w:color="000000" w:sz="6" w:space="0"/>
            </w:tcBorders>
            <w:shd w:val="clear"/>
            <w:vAlign w:val="center"/>
          </w:tcPr>
          <w:p w14:paraId="3972BB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pPr>
            <w:r>
              <w:rPr>
                <w:rFonts w:hint="eastAsia" w:ascii="黑体" w:hAnsi="宋体" w:eastAsia="黑体" w:cs="黑体"/>
                <w:spacing w:val="35"/>
                <w:sz w:val="28"/>
                <w:szCs w:val="28"/>
                <w:bdr w:val="none" w:color="auto" w:sz="0" w:space="0"/>
              </w:rPr>
              <w:t>特殊困难家庭刚性支出扣减项目</w:t>
            </w:r>
          </w:p>
        </w:tc>
        <w:tc>
          <w:tcPr>
            <w:tcW w:w="5182" w:type="dxa"/>
            <w:gridSpan w:val="3"/>
            <w:tcBorders>
              <w:top w:val="single" w:color="000000" w:sz="6" w:space="0"/>
              <w:left w:val="single" w:color="000000" w:sz="6" w:space="0"/>
              <w:bottom w:val="single" w:color="000000" w:sz="6" w:space="0"/>
              <w:right w:val="single" w:color="000000" w:sz="6" w:space="0"/>
            </w:tcBorders>
            <w:shd w:val="clear"/>
            <w:vAlign w:val="center"/>
          </w:tcPr>
          <w:p w14:paraId="2CFC18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pPr>
            <w:r>
              <w:rPr>
                <w:spacing w:val="6"/>
                <w:sz w:val="28"/>
                <w:szCs w:val="28"/>
                <w:bdr w:val="none" w:color="auto" w:sz="0" w:space="0"/>
              </w:rPr>
              <w:t>1.</w:t>
            </w:r>
            <w:r>
              <w:rPr>
                <w:rFonts w:hint="eastAsia" w:ascii="仿宋_GB2312" w:eastAsia="仿宋_GB2312" w:cs="仿宋_GB2312"/>
                <w:spacing w:val="6"/>
                <w:sz w:val="28"/>
                <w:szCs w:val="28"/>
                <w:bdr w:val="none" w:color="auto" w:sz="0" w:space="0"/>
              </w:rPr>
              <w:t>因病支出扣减，扣减部分个人自付医疗费用；</w:t>
            </w:r>
          </w:p>
          <w:p w14:paraId="5AC4BE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1"/>
            </w:pPr>
            <w:r>
              <w:rPr>
                <w:spacing w:val="6"/>
                <w:sz w:val="28"/>
                <w:szCs w:val="28"/>
                <w:bdr w:val="none" w:color="auto" w:sz="0" w:space="0"/>
              </w:rPr>
              <w:t>2.</w:t>
            </w:r>
            <w:r>
              <w:rPr>
                <w:rFonts w:hint="eastAsia" w:ascii="仿宋_GB2312" w:eastAsia="仿宋_GB2312" w:cs="仿宋_GB2312"/>
                <w:spacing w:val="6"/>
                <w:sz w:val="28"/>
                <w:szCs w:val="28"/>
                <w:bdr w:val="none" w:color="auto" w:sz="0" w:space="0"/>
              </w:rPr>
              <w:t>因残支出扣减，扣减残疾人用于康复治疗以及购买必要的辅助器械配备的部分费用；</w:t>
            </w:r>
          </w:p>
          <w:p w14:paraId="7AD821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pPr>
            <w:r>
              <w:rPr>
                <w:spacing w:val="8"/>
                <w:sz w:val="28"/>
                <w:szCs w:val="28"/>
                <w:bdr w:val="none" w:color="auto" w:sz="0" w:space="0"/>
              </w:rPr>
              <w:t>3.</w:t>
            </w:r>
            <w:r>
              <w:rPr>
                <w:rFonts w:hint="eastAsia" w:ascii="仿宋_GB2312" w:eastAsia="仿宋_GB2312" w:cs="仿宋_GB2312"/>
                <w:spacing w:val="8"/>
                <w:sz w:val="28"/>
                <w:szCs w:val="28"/>
                <w:bdr w:val="none" w:color="auto" w:sz="0" w:space="0"/>
              </w:rPr>
              <w:t>因学支出扣减，视学生学习阶段进行扣减。</w:t>
            </w:r>
          </w:p>
        </w:tc>
      </w:tr>
      <w:tr w14:paraId="08B504C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0" w:hRule="atLeast"/>
        </w:trPr>
        <w:tc>
          <w:tcPr>
            <w:tcW w:w="1645" w:type="dxa"/>
            <w:tcBorders>
              <w:top w:val="outset" w:color="auto" w:sz="6" w:space="0"/>
              <w:left w:val="outset" w:color="auto" w:sz="6" w:space="0"/>
              <w:bottom w:val="outset" w:color="auto" w:sz="6" w:space="0"/>
              <w:right w:val="outset" w:color="auto" w:sz="6" w:space="0"/>
            </w:tcBorders>
            <w:shd w:val="clear"/>
            <w:vAlign w:val="center"/>
          </w:tcPr>
          <w:p w14:paraId="5F892B18">
            <w:pPr>
              <w:keepNext w:val="0"/>
              <w:keepLines w:val="0"/>
              <w:widowControl/>
              <w:suppressLineNumbers w:val="0"/>
              <w:wordWrap w:val="0"/>
              <w:jc w:val="left"/>
            </w:pPr>
          </w:p>
        </w:tc>
        <w:tc>
          <w:tcPr>
            <w:tcW w:w="2972" w:type="dxa"/>
            <w:tcBorders>
              <w:top w:val="outset" w:color="auto" w:sz="6" w:space="0"/>
              <w:left w:val="outset" w:color="auto" w:sz="6" w:space="0"/>
              <w:bottom w:val="outset" w:color="auto" w:sz="6" w:space="0"/>
              <w:right w:val="outset" w:color="auto" w:sz="6" w:space="0"/>
            </w:tcBorders>
            <w:shd w:val="clear"/>
            <w:vAlign w:val="center"/>
          </w:tcPr>
          <w:p w14:paraId="6D5ED136">
            <w:pPr>
              <w:keepNext w:val="0"/>
              <w:keepLines w:val="0"/>
              <w:widowControl/>
              <w:suppressLineNumbers w:val="0"/>
              <w:wordWrap w:val="0"/>
              <w:jc w:val="left"/>
            </w:pPr>
          </w:p>
        </w:tc>
        <w:tc>
          <w:tcPr>
            <w:tcW w:w="2570" w:type="dxa"/>
            <w:tcBorders>
              <w:top w:val="outset" w:color="auto" w:sz="6" w:space="0"/>
              <w:left w:val="outset" w:color="auto" w:sz="6" w:space="0"/>
              <w:bottom w:val="outset" w:color="auto" w:sz="6" w:space="0"/>
              <w:right w:val="outset" w:color="auto" w:sz="6" w:space="0"/>
            </w:tcBorders>
            <w:shd w:val="clear"/>
            <w:vAlign w:val="center"/>
          </w:tcPr>
          <w:p w14:paraId="7718393E">
            <w:pPr>
              <w:keepNext w:val="0"/>
              <w:keepLines w:val="0"/>
              <w:widowControl/>
              <w:suppressLineNumbers w:val="0"/>
              <w:wordWrap w:val="0"/>
              <w:jc w:val="left"/>
            </w:pPr>
          </w:p>
        </w:tc>
        <w:tc>
          <w:tcPr>
            <w:tcW w:w="1880" w:type="dxa"/>
            <w:tcBorders>
              <w:top w:val="outset" w:color="auto" w:sz="6" w:space="0"/>
              <w:left w:val="outset" w:color="auto" w:sz="6" w:space="0"/>
              <w:bottom w:val="outset" w:color="auto" w:sz="6" w:space="0"/>
              <w:right w:val="outset" w:color="auto" w:sz="6" w:space="0"/>
            </w:tcBorders>
            <w:shd w:val="clear"/>
            <w:vAlign w:val="center"/>
          </w:tcPr>
          <w:p w14:paraId="35FDC587">
            <w:pPr>
              <w:keepNext w:val="0"/>
              <w:keepLines w:val="0"/>
              <w:widowControl/>
              <w:suppressLineNumbers w:val="0"/>
              <w:wordWrap w:val="0"/>
              <w:jc w:val="left"/>
            </w:pPr>
          </w:p>
        </w:tc>
        <w:tc>
          <w:tcPr>
            <w:tcW w:w="1885" w:type="dxa"/>
            <w:tcBorders>
              <w:top w:val="outset" w:color="auto" w:sz="6" w:space="0"/>
              <w:left w:val="outset" w:color="auto" w:sz="6" w:space="0"/>
              <w:bottom w:val="outset" w:color="auto" w:sz="6" w:space="0"/>
              <w:right w:val="outset" w:color="auto" w:sz="6" w:space="0"/>
            </w:tcBorders>
            <w:shd w:val="clear"/>
            <w:vAlign w:val="center"/>
          </w:tcPr>
          <w:p w14:paraId="090C36DE">
            <w:pPr>
              <w:keepNext w:val="0"/>
              <w:keepLines w:val="0"/>
              <w:widowControl/>
              <w:suppressLineNumbers w:val="0"/>
              <w:wordWrap w:val="0"/>
              <w:jc w:val="left"/>
            </w:pPr>
          </w:p>
        </w:tc>
        <w:tc>
          <w:tcPr>
            <w:tcW w:w="1714" w:type="dxa"/>
            <w:tcBorders>
              <w:top w:val="outset" w:color="auto" w:sz="6" w:space="0"/>
              <w:left w:val="outset" w:color="auto" w:sz="6" w:space="0"/>
              <w:bottom w:val="outset" w:color="auto" w:sz="6" w:space="0"/>
              <w:right w:val="outset" w:color="auto" w:sz="6" w:space="0"/>
            </w:tcBorders>
            <w:shd w:val="clear"/>
            <w:vAlign w:val="center"/>
          </w:tcPr>
          <w:p w14:paraId="354C7E2B">
            <w:pPr>
              <w:keepNext w:val="0"/>
              <w:keepLines w:val="0"/>
              <w:widowControl/>
              <w:suppressLineNumbers w:val="0"/>
              <w:wordWrap w:val="0"/>
              <w:jc w:val="left"/>
            </w:pPr>
          </w:p>
        </w:tc>
        <w:tc>
          <w:tcPr>
            <w:tcW w:w="1598" w:type="dxa"/>
            <w:tcBorders>
              <w:top w:val="outset" w:color="auto" w:sz="6" w:space="0"/>
              <w:left w:val="outset" w:color="auto" w:sz="6" w:space="0"/>
              <w:bottom w:val="outset" w:color="auto" w:sz="6" w:space="0"/>
              <w:right w:val="outset" w:color="auto" w:sz="6" w:space="0"/>
            </w:tcBorders>
            <w:shd w:val="clear"/>
            <w:vAlign w:val="center"/>
          </w:tcPr>
          <w:p w14:paraId="6518BC38">
            <w:pPr>
              <w:keepNext w:val="0"/>
              <w:keepLines w:val="0"/>
              <w:widowControl/>
              <w:suppressLineNumbers w:val="0"/>
              <w:wordWrap w:val="0"/>
              <w:jc w:val="left"/>
            </w:pPr>
          </w:p>
        </w:tc>
      </w:tr>
    </w:tbl>
    <w:p w14:paraId="4BDED485">
      <w:pPr>
        <w:pStyle w:val="2"/>
        <w:keepNext w:val="0"/>
        <w:keepLines w:val="0"/>
        <w:widowControl/>
        <w:suppressLineNumbers w:val="0"/>
        <w:spacing w:before="0" w:beforeAutospacing="0" w:after="0" w:afterAutospacing="0" w:line="315" w:lineRule="atLeast"/>
        <w:ind w:right="320"/>
        <w:jc w:val="right"/>
        <w:rPr>
          <w:sz w:val="28"/>
          <w:szCs w:val="28"/>
        </w:rPr>
      </w:pPr>
    </w:p>
    <w:p w14:paraId="7020FCFD">
      <w:pPr>
        <w:pStyle w:val="2"/>
        <w:keepNext w:val="0"/>
        <w:keepLines w:val="0"/>
        <w:widowControl/>
        <w:suppressLineNumbers w:val="0"/>
        <w:spacing w:before="0" w:beforeAutospacing="0" w:after="0" w:afterAutospacing="0" w:line="570" w:lineRule="atLeast"/>
        <w:ind w:left="0" w:firstLine="640"/>
      </w:pPr>
    </w:p>
    <w:p w14:paraId="6085A29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Menk Amglang Tig"/>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F1C87"/>
    <w:rsid w:val="45181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2025-03-04T01:58:00Z</dcterms:created>
  <dc:creator>Administrator</dc:creator>
  <cp:lastModifiedBy>演示人</cp:lastModifiedBy>
  <dcterms:modified xsi:type="dcterms:W3CDTF">2025-10-31T07:28:54Z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698D0A84644F4C82AE5BB9CB60C9DB02_12</vt:lpwstr>
  </property>
  <property fmtid="{D5CDD505-2E9C-101B-9397-08002B2CF9AE}" pid="4" name="KSOTemplateDocerSaveRecord">
    <vt:lpwstr>eyJoZGlkIjoiNDc0OTZjNmRjMmVmNDVkNmJiNzdkOGYyMjNlN2Q4MzIiLCJ1c2VySWQiOiIyMTg5NzA1NDYifQ==</vt:lpwstr>
  </property>
</Properties>
</file>