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eastAsia="方正小标宋简体"/>
          <w:color w:val="000000"/>
          <w:sz w:val="44"/>
          <w:szCs w:val="44"/>
        </w:rPr>
      </w:pPr>
      <w:r>
        <w:rPr>
          <w:rFonts w:hint="eastAsia" w:eastAsia="方正小标宋简体"/>
          <w:color w:val="000000"/>
          <w:sz w:val="44"/>
          <w:szCs w:val="44"/>
        </w:rPr>
        <w:drawing>
          <wp:anchor distT="0" distB="0" distL="114300" distR="114300" simplePos="0" relativeHeight="251659264" behindDoc="1" locked="0" layoutInCell="1" allowOverlap="1">
            <wp:simplePos x="0" y="0"/>
            <wp:positionH relativeFrom="margin">
              <wp:posOffset>-937895</wp:posOffset>
            </wp:positionH>
            <wp:positionV relativeFrom="paragraph">
              <wp:posOffset>-1035685</wp:posOffset>
            </wp:positionV>
            <wp:extent cx="7769225" cy="10692130"/>
            <wp:effectExtent l="0" t="0" r="0" b="0"/>
            <wp:wrapNone/>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769225" cy="10692000"/>
                    </a:xfrm>
                    <a:prstGeom prst="rect">
                      <a:avLst/>
                    </a:prstGeom>
                    <a:noFill/>
                    <a:ln>
                      <a:noFill/>
                    </a:ln>
                  </pic:spPr>
                </pic:pic>
              </a:graphicData>
            </a:graphic>
          </wp:anchor>
        </w:drawing>
      </w:r>
    </w:p>
    <w:p>
      <w:pPr>
        <w:spacing w:line="570" w:lineRule="exact"/>
        <w:jc w:val="center"/>
        <w:rPr>
          <w:rFonts w:eastAsia="方正小标宋简体"/>
          <w:color w:val="000000"/>
          <w:sz w:val="44"/>
          <w:szCs w:val="44"/>
        </w:rPr>
      </w:pPr>
    </w:p>
    <w:p>
      <w:pPr>
        <w:spacing w:line="570" w:lineRule="exact"/>
        <w:jc w:val="center"/>
        <w:rPr>
          <w:rFonts w:eastAsia="方正小标宋简体"/>
          <w:color w:val="000000"/>
          <w:sz w:val="44"/>
          <w:szCs w:val="44"/>
        </w:rPr>
      </w:pPr>
    </w:p>
    <w:p>
      <w:pPr>
        <w:spacing w:line="570" w:lineRule="exact"/>
        <w:rPr>
          <w:color w:val="000000"/>
          <w:szCs w:val="32"/>
        </w:rPr>
      </w:pPr>
    </w:p>
    <w:p>
      <w:pPr>
        <w:spacing w:line="570" w:lineRule="exact"/>
        <w:jc w:val="center"/>
        <w:rPr>
          <w:color w:val="000000"/>
          <w:szCs w:val="32"/>
        </w:rPr>
      </w:pPr>
    </w:p>
    <w:p>
      <w:pPr>
        <w:spacing w:line="570" w:lineRule="exact"/>
        <w:jc w:val="center"/>
        <w:rPr>
          <w:color w:val="000000"/>
          <w:szCs w:val="32"/>
        </w:rPr>
      </w:pPr>
    </w:p>
    <w:p>
      <w:pPr>
        <w:spacing w:line="570" w:lineRule="exact"/>
        <w:jc w:val="center"/>
        <w:rPr>
          <w:color w:val="000000"/>
          <w:szCs w:val="32"/>
        </w:rPr>
      </w:pPr>
    </w:p>
    <w:p>
      <w:pPr>
        <w:spacing w:line="570" w:lineRule="exact"/>
        <w:jc w:val="center"/>
        <w:rPr>
          <w:color w:val="000000"/>
          <w:szCs w:val="32"/>
        </w:rPr>
      </w:pPr>
      <w:r>
        <w:rPr>
          <w:color w:val="000000"/>
          <w:szCs w:val="32"/>
        </w:rPr>
        <w:t>翁政办发〔2023〕</w:t>
      </w:r>
      <w:r>
        <w:rPr>
          <w:rFonts w:hint="eastAsia"/>
          <w:color w:val="000000"/>
          <w:szCs w:val="32"/>
          <w:lang w:val="en-US" w:eastAsia="zh-CN"/>
        </w:rPr>
        <w:t>17</w:t>
      </w:r>
      <w:r>
        <w:rPr>
          <w:color w:val="000000"/>
          <w:szCs w:val="32"/>
        </w:rPr>
        <w:t>号</w:t>
      </w:r>
    </w:p>
    <w:p>
      <w:pPr>
        <w:spacing w:line="570" w:lineRule="exact"/>
        <w:jc w:val="center"/>
        <w:rPr>
          <w:rFonts w:eastAsia="方正小标宋简体"/>
          <w:color w:val="000000"/>
          <w:sz w:val="44"/>
          <w:szCs w:val="44"/>
        </w:rPr>
      </w:pPr>
    </w:p>
    <w:p>
      <w:pPr>
        <w:spacing w:line="570" w:lineRule="exact"/>
        <w:jc w:val="center"/>
        <w:rPr>
          <w:rFonts w:hint="eastAsia" w:eastAsia="方正小标宋简体"/>
          <w:color w:val="000000"/>
          <w:sz w:val="44"/>
          <w:szCs w:val="44"/>
        </w:rPr>
      </w:pPr>
    </w:p>
    <w:p>
      <w:pPr>
        <w:spacing w:line="570" w:lineRule="exact"/>
        <w:jc w:val="center"/>
        <w:rPr>
          <w:rFonts w:eastAsia="方正小标宋简体"/>
          <w:color w:val="000000"/>
          <w:sz w:val="44"/>
          <w:szCs w:val="44"/>
        </w:rPr>
      </w:pPr>
      <w:r>
        <w:rPr>
          <w:rFonts w:eastAsia="方正小标宋简体"/>
          <w:color w:val="000000"/>
          <w:sz w:val="44"/>
          <w:szCs w:val="44"/>
        </w:rPr>
        <w:t>翁牛特旗人民政府办公室</w:t>
      </w:r>
    </w:p>
    <w:p>
      <w:pPr>
        <w:spacing w:line="570" w:lineRule="exact"/>
        <w:jc w:val="center"/>
        <w:rPr>
          <w:rFonts w:eastAsia="方正小标宋简体"/>
          <w:color w:val="000000"/>
          <w:sz w:val="44"/>
          <w:szCs w:val="44"/>
        </w:rPr>
      </w:pPr>
      <w:r>
        <w:rPr>
          <w:rFonts w:eastAsia="方正小标宋简体"/>
          <w:color w:val="000000"/>
          <w:sz w:val="44"/>
          <w:szCs w:val="44"/>
        </w:rPr>
        <w:t>关于印发《</w:t>
      </w:r>
      <w:r>
        <w:rPr>
          <w:rFonts w:hint="eastAsia" w:eastAsia="方正小标宋简体"/>
          <w:color w:val="000000"/>
          <w:sz w:val="44"/>
          <w:szCs w:val="44"/>
        </w:rPr>
        <w:t>翁牛特旗安全生产举报</w:t>
      </w:r>
    </w:p>
    <w:p>
      <w:pPr>
        <w:spacing w:line="570" w:lineRule="exact"/>
        <w:jc w:val="center"/>
        <w:rPr>
          <w:rFonts w:eastAsia="方正小标宋简体"/>
          <w:color w:val="000000"/>
          <w:sz w:val="44"/>
          <w:szCs w:val="44"/>
        </w:rPr>
      </w:pPr>
      <w:r>
        <w:rPr>
          <w:rFonts w:hint="eastAsia" w:eastAsia="方正小标宋简体"/>
          <w:color w:val="000000"/>
          <w:sz w:val="44"/>
          <w:szCs w:val="44"/>
        </w:rPr>
        <w:t>奖励办法</w:t>
      </w:r>
      <w:r>
        <w:rPr>
          <w:rFonts w:eastAsia="方正小标宋简体"/>
          <w:color w:val="000000"/>
          <w:sz w:val="44"/>
          <w:szCs w:val="44"/>
        </w:rPr>
        <w:t>》的通知</w:t>
      </w:r>
    </w:p>
    <w:p>
      <w:pPr>
        <w:spacing w:line="570" w:lineRule="exact"/>
        <w:jc w:val="center"/>
        <w:rPr>
          <w:rFonts w:eastAsia="方正小标宋简体"/>
          <w:color w:val="000000"/>
          <w:sz w:val="44"/>
          <w:szCs w:val="44"/>
        </w:rPr>
      </w:pPr>
    </w:p>
    <w:p>
      <w:pPr>
        <w:spacing w:line="570" w:lineRule="exact"/>
        <w:jc w:val="left"/>
        <w:rPr>
          <w:color w:val="000000"/>
          <w:szCs w:val="32"/>
        </w:rPr>
      </w:pPr>
      <w:r>
        <w:rPr>
          <w:color w:val="000000"/>
          <w:szCs w:val="32"/>
        </w:rPr>
        <w:t>各苏木乡镇街道人民政府（管理办）</w:t>
      </w:r>
      <w:r>
        <w:rPr>
          <w:rFonts w:hint="eastAsia"/>
          <w:color w:val="000000"/>
          <w:szCs w:val="32"/>
        </w:rPr>
        <w:t>、</w:t>
      </w:r>
      <w:r>
        <w:rPr>
          <w:color w:val="000000"/>
          <w:szCs w:val="32"/>
        </w:rPr>
        <w:t>大兴农场，各有关单位：</w:t>
      </w:r>
    </w:p>
    <w:p>
      <w:pPr>
        <w:spacing w:line="570" w:lineRule="exact"/>
        <w:ind w:firstLine="630"/>
        <w:jc w:val="left"/>
        <w:rPr>
          <w:color w:val="000000"/>
          <w:szCs w:val="32"/>
        </w:rPr>
      </w:pPr>
      <w:r>
        <w:rPr>
          <w:color w:val="000000"/>
          <w:szCs w:val="32"/>
        </w:rPr>
        <w:t>《</w:t>
      </w:r>
      <w:r>
        <w:rPr>
          <w:rFonts w:hint="eastAsia"/>
          <w:color w:val="000000"/>
          <w:szCs w:val="32"/>
        </w:rPr>
        <w:t>翁牛特旗安全</w:t>
      </w:r>
      <w:bookmarkStart w:id="1" w:name="_GoBack"/>
      <w:bookmarkEnd w:id="1"/>
      <w:r>
        <w:rPr>
          <w:rFonts w:hint="eastAsia"/>
          <w:color w:val="000000"/>
          <w:szCs w:val="32"/>
        </w:rPr>
        <w:t>生产举报奖励办法</w:t>
      </w:r>
      <w:r>
        <w:rPr>
          <w:color w:val="000000"/>
          <w:szCs w:val="32"/>
        </w:rPr>
        <w:t>》</w:t>
      </w:r>
      <w:r>
        <w:rPr>
          <w:rFonts w:hint="eastAsia"/>
          <w:color w:val="000000"/>
          <w:szCs w:val="32"/>
        </w:rPr>
        <w:t>已于4月</w:t>
      </w:r>
      <w:r>
        <w:rPr>
          <w:color w:val="000000"/>
          <w:szCs w:val="32"/>
        </w:rPr>
        <w:t>7</w:t>
      </w:r>
      <w:r>
        <w:rPr>
          <w:rFonts w:hint="eastAsia"/>
          <w:color w:val="000000"/>
          <w:szCs w:val="32"/>
        </w:rPr>
        <w:t>日经旗政府2</w:t>
      </w:r>
      <w:r>
        <w:rPr>
          <w:color w:val="000000"/>
          <w:szCs w:val="32"/>
        </w:rPr>
        <w:t>023</w:t>
      </w:r>
      <w:r>
        <w:rPr>
          <w:rFonts w:hint="eastAsia"/>
          <w:color w:val="000000"/>
          <w:szCs w:val="32"/>
        </w:rPr>
        <w:t>年第4次常务会议审议通过，现</w:t>
      </w:r>
      <w:r>
        <w:rPr>
          <w:color w:val="000000"/>
          <w:szCs w:val="32"/>
        </w:rPr>
        <w:t>印发给你们，请严格按照要求，认真抓好工作落实。</w:t>
      </w:r>
    </w:p>
    <w:p>
      <w:pPr>
        <w:spacing w:line="570" w:lineRule="exact"/>
        <w:ind w:firstLine="316" w:firstLineChars="100"/>
        <w:jc w:val="left"/>
        <w:rPr>
          <w:color w:val="000000"/>
          <w:szCs w:val="32"/>
        </w:rPr>
      </w:pPr>
    </w:p>
    <w:p>
      <w:pPr>
        <w:spacing w:line="570" w:lineRule="exact"/>
        <w:ind w:firstLine="316" w:firstLineChars="100"/>
        <w:jc w:val="left"/>
        <w:rPr>
          <w:color w:val="000000"/>
          <w:szCs w:val="32"/>
        </w:rPr>
      </w:pPr>
    </w:p>
    <w:p>
      <w:pPr>
        <w:spacing w:line="570" w:lineRule="exact"/>
        <w:ind w:firstLine="4582" w:firstLineChars="1450"/>
        <w:rPr>
          <w:color w:val="000000"/>
          <w:szCs w:val="32"/>
        </w:rPr>
      </w:pPr>
      <w:r>
        <w:rPr>
          <w:color w:val="000000"/>
          <w:szCs w:val="32"/>
        </w:rPr>
        <w:t>翁牛特旗人民政府办公室</w:t>
      </w:r>
    </w:p>
    <w:p>
      <w:pPr>
        <w:spacing w:line="570" w:lineRule="exact"/>
        <w:ind w:right="1264" w:rightChars="400"/>
        <w:jc w:val="right"/>
        <w:rPr>
          <w:color w:val="000000"/>
          <w:szCs w:val="32"/>
        </w:rPr>
      </w:pPr>
      <w:r>
        <w:rPr>
          <w:color w:val="000000"/>
          <w:szCs w:val="32"/>
        </w:rPr>
        <w:t>2023年4月10日</w:t>
      </w:r>
      <w:r>
        <w:rPr>
          <w:color w:val="000000"/>
          <w:szCs w:val="32"/>
        </w:rPr>
        <w:br w:type="page"/>
      </w:r>
    </w:p>
    <w:p>
      <w:pPr>
        <w:spacing w:line="570" w:lineRule="exact"/>
        <w:jc w:val="center"/>
        <w:rPr>
          <w:rFonts w:eastAsia="方正小标宋简体"/>
          <w:sz w:val="44"/>
          <w:szCs w:val="44"/>
        </w:rPr>
      </w:pPr>
    </w:p>
    <w:p>
      <w:pPr>
        <w:spacing w:line="570" w:lineRule="exact"/>
        <w:jc w:val="center"/>
        <w:rPr>
          <w:rFonts w:eastAsia="方正小标宋简体"/>
          <w:sz w:val="44"/>
          <w:szCs w:val="44"/>
        </w:rPr>
      </w:pPr>
      <w:r>
        <w:rPr>
          <w:rFonts w:eastAsia="方正小标宋简体"/>
          <w:sz w:val="44"/>
          <w:szCs w:val="44"/>
        </w:rPr>
        <w:t>翁牛特旗安全生产举报奖励办法</w:t>
      </w:r>
    </w:p>
    <w:p>
      <w:pPr>
        <w:spacing w:line="570" w:lineRule="exact"/>
        <w:jc w:val="center"/>
        <w:rPr>
          <w:rFonts w:eastAsia="方正小标宋简体"/>
          <w:sz w:val="44"/>
          <w:szCs w:val="44"/>
        </w:rPr>
      </w:pPr>
    </w:p>
    <w:p>
      <w:pPr>
        <w:spacing w:line="570" w:lineRule="exact"/>
        <w:ind w:firstLine="632" w:firstLineChars="200"/>
        <w:rPr>
          <w:szCs w:val="32"/>
        </w:rPr>
      </w:pPr>
      <w:r>
        <w:rPr>
          <w:rFonts w:eastAsia="黑体"/>
          <w:szCs w:val="32"/>
        </w:rPr>
        <w:t>第一条</w:t>
      </w:r>
      <w:r>
        <w:rPr>
          <w:szCs w:val="32"/>
        </w:rPr>
        <w:t xml:space="preserve"> 为加强安全生产领域的社会监督，鼓励举报安全生产重大事故隐患和安全生产违法行为，及时发现并排除安全生产重大事故隐患，制止和惩处安全生产违法行为，根据相关法律法规和政策文件，结合我旗实际，制定本办法。</w:t>
      </w:r>
    </w:p>
    <w:p>
      <w:pPr>
        <w:spacing w:line="570" w:lineRule="exact"/>
        <w:ind w:firstLine="632" w:firstLineChars="200"/>
        <w:rPr>
          <w:szCs w:val="32"/>
        </w:rPr>
      </w:pPr>
      <w:r>
        <w:rPr>
          <w:rFonts w:eastAsia="黑体"/>
          <w:szCs w:val="32"/>
        </w:rPr>
        <w:t>第二条</w:t>
      </w:r>
      <w:r>
        <w:rPr>
          <w:szCs w:val="32"/>
        </w:rPr>
        <w:t xml:space="preserve"> 本办法适用于我旗所有行业领域安全生产重大事故隐患和安全生产违法行为的举报奖励。</w:t>
      </w:r>
    </w:p>
    <w:p>
      <w:pPr>
        <w:spacing w:line="570" w:lineRule="exact"/>
        <w:ind w:firstLine="632" w:firstLineChars="200"/>
        <w:rPr>
          <w:szCs w:val="32"/>
        </w:rPr>
      </w:pPr>
      <w:r>
        <w:rPr>
          <w:rFonts w:eastAsia="黑体"/>
          <w:szCs w:val="32"/>
        </w:rPr>
        <w:t>第三条</w:t>
      </w:r>
      <w:r>
        <w:rPr>
          <w:szCs w:val="32"/>
        </w:rPr>
        <w:t xml:space="preserve"> 任何单位、组织和个人（以下统称举报人）均有权向旗级人民政府应急管理部门及其他负有安全生产监督管理职责的部门（以下统称负有安全生产监管职责的部门）举报安全生产重大事故隐患和安全生产违法行为。</w:t>
      </w:r>
    </w:p>
    <w:p>
      <w:pPr>
        <w:spacing w:line="570" w:lineRule="exact"/>
        <w:ind w:firstLine="632" w:firstLineChars="200"/>
        <w:rPr>
          <w:szCs w:val="32"/>
        </w:rPr>
      </w:pPr>
      <w:r>
        <w:rPr>
          <w:rFonts w:eastAsia="黑体"/>
          <w:szCs w:val="32"/>
        </w:rPr>
        <w:t>第四条</w:t>
      </w:r>
      <w:r>
        <w:rPr>
          <w:szCs w:val="32"/>
        </w:rPr>
        <w:t xml:space="preserve"> 负有安全生产监管职责的部门开展安全生产举报奖励工作，应当遵循“合法举报、适当奖励、属地管理、分级负责”和“谁核查、谁处理、谁奖励”的原则。</w:t>
      </w:r>
    </w:p>
    <w:p>
      <w:pPr>
        <w:spacing w:line="570" w:lineRule="exact"/>
        <w:ind w:firstLine="632" w:firstLineChars="200"/>
        <w:rPr>
          <w:szCs w:val="32"/>
        </w:rPr>
      </w:pPr>
      <w:r>
        <w:rPr>
          <w:rFonts w:eastAsia="黑体"/>
          <w:szCs w:val="32"/>
        </w:rPr>
        <w:t>第五条</w:t>
      </w:r>
      <w:r>
        <w:rPr>
          <w:szCs w:val="32"/>
        </w:rPr>
        <w:t xml:space="preserve"> 本办法所称安全生产重大事故隐患，是指危害和整改难度较大，应当全部或局部停产停业，并经过一定时间整改治理方能排除的隐患，或者因外部因素影响致使生产经营单位自身难以排除的隐患。</w:t>
      </w:r>
    </w:p>
    <w:p>
      <w:pPr>
        <w:spacing w:line="570" w:lineRule="exact"/>
        <w:ind w:firstLine="632" w:firstLineChars="200"/>
        <w:rPr>
          <w:szCs w:val="32"/>
        </w:rPr>
      </w:pPr>
      <w:r>
        <w:rPr>
          <w:szCs w:val="32"/>
        </w:rPr>
        <w:t>安全生产重大事故隐患的判定，按照国家有关部门制定并向社会公布的判定标准认定。</w:t>
      </w:r>
    </w:p>
    <w:p>
      <w:pPr>
        <w:spacing w:line="570" w:lineRule="exact"/>
        <w:ind w:firstLine="632" w:firstLineChars="200"/>
        <w:rPr>
          <w:szCs w:val="32"/>
        </w:rPr>
      </w:pPr>
      <w:r>
        <w:rPr>
          <w:rFonts w:eastAsia="黑体"/>
          <w:szCs w:val="32"/>
        </w:rPr>
        <w:t>第六条</w:t>
      </w:r>
      <w:r>
        <w:rPr>
          <w:szCs w:val="32"/>
        </w:rPr>
        <w:t xml:space="preserve"> 本办法所称安全生产违法行为，按照有关规定进行认定，重点包括以下情形和行为：</w:t>
      </w:r>
    </w:p>
    <w:p>
      <w:pPr>
        <w:spacing w:line="570" w:lineRule="exact"/>
        <w:ind w:firstLine="632" w:firstLineChars="200"/>
        <w:rPr>
          <w:szCs w:val="32"/>
        </w:rPr>
      </w:pPr>
      <w:r>
        <w:rPr>
          <w:szCs w:val="32"/>
        </w:rPr>
        <w:t>（一）没有获得有关安全生产许可证或证照不全、证照过期从事生产经营、建设活动的；</w:t>
      </w:r>
    </w:p>
    <w:p>
      <w:pPr>
        <w:spacing w:line="570" w:lineRule="exact"/>
        <w:ind w:firstLine="632" w:firstLineChars="200"/>
        <w:rPr>
          <w:szCs w:val="32"/>
        </w:rPr>
      </w:pPr>
      <w:r>
        <w:rPr>
          <w:szCs w:val="32"/>
        </w:rPr>
        <w:t>（二）未依法取得批准或者验收合格，擅自从事生产经营、建设活动的；</w:t>
      </w:r>
    </w:p>
    <w:p>
      <w:pPr>
        <w:spacing w:line="570" w:lineRule="exact"/>
        <w:ind w:firstLine="632" w:firstLineChars="200"/>
        <w:rPr>
          <w:szCs w:val="32"/>
        </w:rPr>
      </w:pPr>
      <w:r>
        <w:rPr>
          <w:szCs w:val="32"/>
        </w:rPr>
        <w:t>（三）关闭取缔后又擅自从事生产经营、建设活动的；</w:t>
      </w:r>
    </w:p>
    <w:p>
      <w:pPr>
        <w:spacing w:line="570" w:lineRule="exact"/>
        <w:ind w:firstLine="632" w:firstLineChars="200"/>
        <w:rPr>
          <w:szCs w:val="32"/>
        </w:rPr>
      </w:pPr>
      <w:r>
        <w:rPr>
          <w:szCs w:val="32"/>
        </w:rPr>
        <w:t>（四）停产整顿、整合技改未经验收擅自组织生产和违反建设项目安全设施“三同时”规定的；</w:t>
      </w:r>
    </w:p>
    <w:p>
      <w:pPr>
        <w:spacing w:line="570" w:lineRule="exact"/>
        <w:ind w:firstLine="632" w:firstLineChars="200"/>
        <w:rPr>
          <w:szCs w:val="32"/>
        </w:rPr>
      </w:pPr>
      <w:r>
        <w:rPr>
          <w:szCs w:val="32"/>
        </w:rPr>
        <w:t>（五）超层越界开采矿产资源的；</w:t>
      </w:r>
    </w:p>
    <w:p>
      <w:pPr>
        <w:spacing w:line="570" w:lineRule="exact"/>
        <w:ind w:firstLine="632" w:firstLineChars="200"/>
        <w:rPr>
          <w:szCs w:val="32"/>
        </w:rPr>
      </w:pPr>
      <w:r>
        <w:rPr>
          <w:szCs w:val="32"/>
        </w:rPr>
        <w:t>（六）未按国家有关规定对危险物品进行管理或者使用国家明令淘汰、禁止的危及生产安全的工艺、设备的；</w:t>
      </w:r>
    </w:p>
    <w:p>
      <w:pPr>
        <w:spacing w:line="570" w:lineRule="exact"/>
        <w:ind w:firstLine="632" w:firstLineChars="200"/>
        <w:rPr>
          <w:szCs w:val="32"/>
        </w:rPr>
      </w:pPr>
      <w:r>
        <w:rPr>
          <w:szCs w:val="32"/>
        </w:rPr>
        <w:t>（七）承担安全评价、认证、检测、检验工作的机构出具虚假证明的；</w:t>
      </w:r>
    </w:p>
    <w:p>
      <w:pPr>
        <w:spacing w:line="570" w:lineRule="exact"/>
        <w:ind w:firstLine="632" w:firstLineChars="200"/>
        <w:rPr>
          <w:szCs w:val="32"/>
        </w:rPr>
      </w:pPr>
      <w:r>
        <w:rPr>
          <w:szCs w:val="32"/>
        </w:rPr>
        <w:t>（八）生产安全事故瞒报、谎报，以及安全生产重大事故隐患隐瞒不报或者不按规定期限予以整治，或者生产经营单位主要负责人在发生伤亡事故后逃匿的；</w:t>
      </w:r>
    </w:p>
    <w:p>
      <w:pPr>
        <w:spacing w:line="570" w:lineRule="exact"/>
        <w:ind w:firstLine="632" w:firstLineChars="200"/>
        <w:rPr>
          <w:szCs w:val="32"/>
        </w:rPr>
      </w:pPr>
      <w:r>
        <w:rPr>
          <w:szCs w:val="32"/>
        </w:rPr>
        <w:t>（九）法律、法规、国家标准或者行业标准规定的其他安全生产违法行为。</w:t>
      </w:r>
    </w:p>
    <w:p>
      <w:pPr>
        <w:spacing w:line="570" w:lineRule="exact"/>
        <w:ind w:firstLine="632" w:firstLineChars="200"/>
        <w:rPr>
          <w:szCs w:val="32"/>
        </w:rPr>
      </w:pPr>
      <w:r>
        <w:rPr>
          <w:rFonts w:eastAsia="黑体"/>
          <w:szCs w:val="32"/>
        </w:rPr>
        <w:t>第七条</w:t>
      </w:r>
      <w:r>
        <w:rPr>
          <w:szCs w:val="32"/>
        </w:rPr>
        <w:t xml:space="preserve"> 旗级负有安全生产监管职责的部门应当建立健全安全生产举报管理制度，明确受理、核查、处理、交办、移送、反馈、统计等程序和规定，确定本部门的安全生产举报受理机构，向社会公开举报电话、通信地址、邮政编码、电子邮箱、传真电话、网站等举报方式，并向同级应急管理部门报备。</w:t>
      </w:r>
    </w:p>
    <w:p>
      <w:pPr>
        <w:spacing w:line="570" w:lineRule="exact"/>
        <w:ind w:firstLine="632" w:firstLineChars="200"/>
        <w:rPr>
          <w:szCs w:val="32"/>
        </w:rPr>
      </w:pPr>
      <w:r>
        <w:rPr>
          <w:rFonts w:eastAsia="黑体"/>
          <w:szCs w:val="32"/>
        </w:rPr>
        <w:t>第八条</w:t>
      </w:r>
      <w:r>
        <w:rPr>
          <w:szCs w:val="32"/>
        </w:rPr>
        <w:t xml:space="preserve"> 举报人可通过安全生产举报投诉特服电话“12350”和其他负有安全生产监管职责的部门设立的举报电话，或者以书信、传真、面谈、网上举报等方式举报安全生产重大事故隐患和安全生产违法行为。举报事项应当有明确的被举报对象、被举报对象的详细地址和举报的具体事实。</w:t>
      </w:r>
    </w:p>
    <w:p>
      <w:pPr>
        <w:spacing w:line="570" w:lineRule="exact"/>
        <w:ind w:firstLine="632" w:firstLineChars="200"/>
        <w:rPr>
          <w:szCs w:val="32"/>
        </w:rPr>
      </w:pPr>
      <w:r>
        <w:rPr>
          <w:rFonts w:eastAsia="黑体"/>
          <w:szCs w:val="32"/>
        </w:rPr>
        <w:t>第九条</w:t>
      </w:r>
      <w:r>
        <w:rPr>
          <w:szCs w:val="32"/>
        </w:rPr>
        <w:t xml:space="preserve"> 对安全生产举报事项的受理及核查处理，按照下列规定办理：</w:t>
      </w:r>
    </w:p>
    <w:p>
      <w:pPr>
        <w:spacing w:line="570" w:lineRule="exact"/>
        <w:ind w:firstLine="632" w:firstLineChars="200"/>
        <w:rPr>
          <w:szCs w:val="32"/>
        </w:rPr>
      </w:pPr>
      <w:r>
        <w:rPr>
          <w:szCs w:val="32"/>
        </w:rPr>
        <w:t>（一）旗级负有安全生产监管职责的部门按照安全生产工作职责分工，负责受理辖区内本部门职责范围内的举报事项。对无明确的被举报对象或者无具体事实的举报，不予受理。已受理且正在核查处理的举报事项，或已核查处理完毕并向举报人反馈过核查处理情况的举报事项，单一举报人重复举报的，不予受理。</w:t>
      </w:r>
    </w:p>
    <w:p>
      <w:pPr>
        <w:spacing w:line="570" w:lineRule="exact"/>
        <w:ind w:firstLine="632" w:firstLineChars="200"/>
        <w:rPr>
          <w:szCs w:val="32"/>
        </w:rPr>
      </w:pPr>
      <w:r>
        <w:rPr>
          <w:szCs w:val="32"/>
        </w:rPr>
        <w:t>（二）举报事项不属于本部门受理范围的，接到举报的负有安全生产监管职责的部门应当告知举报人向有处理权的部门举报，或将举报材料移送有处理权的部门，并采取适当方式告知举报人。</w:t>
      </w:r>
    </w:p>
    <w:p>
      <w:pPr>
        <w:spacing w:line="570" w:lineRule="exact"/>
        <w:ind w:firstLine="632" w:firstLineChars="200"/>
        <w:rPr>
          <w:szCs w:val="32"/>
        </w:rPr>
      </w:pPr>
      <w:r>
        <w:rPr>
          <w:szCs w:val="32"/>
        </w:rPr>
        <w:t>（三）旗级负有安全生产监管职责的部门对于受理的举报事项可以直接核查处理，也可交由属地相应负有安全生产监管职责的部门核查处理。属地安全生产监管职责的部门负责核查处理本部门受理的举报事项。</w:t>
      </w:r>
    </w:p>
    <w:p>
      <w:pPr>
        <w:spacing w:line="570" w:lineRule="exact"/>
        <w:ind w:firstLine="632" w:firstLineChars="200"/>
        <w:rPr>
          <w:szCs w:val="32"/>
        </w:rPr>
      </w:pPr>
      <w:r>
        <w:rPr>
          <w:szCs w:val="32"/>
        </w:rPr>
        <w:t>（四）负有安全生产监管职责的部门要按照“谁核查、谁处理、谁反馈”的原则，及时核查处理举报事项，自受理之日起60日内办结，情况复杂的，可以适当延长核查处理时间，但延长期限不得超过30日。受核查手段限制，一个部门无法单独查清的，应及时报告旗人民政府，由其牵头组织核查。核查处理完毕后，要向举报人反馈举报事项核查处理情况。</w:t>
      </w:r>
    </w:p>
    <w:p>
      <w:pPr>
        <w:spacing w:line="570" w:lineRule="exact"/>
        <w:ind w:firstLine="632" w:firstLineChars="200"/>
        <w:rPr>
          <w:szCs w:val="32"/>
        </w:rPr>
      </w:pPr>
      <w:r>
        <w:rPr>
          <w:szCs w:val="32"/>
        </w:rPr>
        <w:t>（五）举报人同时举报多个举报事项，涉及多个负有安全生产监管职责的部门的，各部门依据各自职责分别核查处理，并及时分别向举报人反馈核查处理情况。</w:t>
      </w:r>
    </w:p>
    <w:p>
      <w:pPr>
        <w:spacing w:line="570" w:lineRule="exact"/>
        <w:ind w:firstLine="632" w:firstLineChars="200"/>
        <w:rPr>
          <w:szCs w:val="32"/>
        </w:rPr>
      </w:pPr>
      <w:r>
        <w:rPr>
          <w:rFonts w:eastAsia="黑体"/>
          <w:szCs w:val="32"/>
        </w:rPr>
        <w:t>第十条</w:t>
      </w:r>
      <w:r>
        <w:rPr>
          <w:szCs w:val="32"/>
        </w:rPr>
        <w:t xml:space="preserve"> 对举报人的奖励，按照下列规定进行：</w:t>
      </w:r>
    </w:p>
    <w:p>
      <w:pPr>
        <w:spacing w:line="570" w:lineRule="exact"/>
        <w:ind w:firstLine="632" w:firstLineChars="200"/>
        <w:rPr>
          <w:szCs w:val="32"/>
        </w:rPr>
      </w:pPr>
      <w:r>
        <w:rPr>
          <w:szCs w:val="32"/>
        </w:rPr>
        <w:t>（一）举报人举报的安全生产重大事故隐患和安全生产违法行为，属于生产经营单位、旗人民政府及负有安全生产监管职责的部门没有发现，或虽然发现但未按有关规定处理，经旗人民政府或负有安全生产监管职责的部门核查属实的，由负责核查处理举报事项的部门或牵头部门对举报人给予一次性奖励。</w:t>
      </w:r>
    </w:p>
    <w:p>
      <w:pPr>
        <w:spacing w:line="570" w:lineRule="exact"/>
        <w:ind w:firstLine="632" w:firstLineChars="200"/>
        <w:rPr>
          <w:szCs w:val="32"/>
        </w:rPr>
      </w:pPr>
      <w:r>
        <w:rPr>
          <w:szCs w:val="32"/>
        </w:rPr>
        <w:t>（二）决定予以奖励的，负责核查处理举报事项的部门应当自作出决定之日起5日内通知举报人领取奖金。举报人应当自接到奖励通知之日起60日内凭有效身份证件领取奖金。逾期未领取的，视为自动放弃。</w:t>
      </w:r>
    </w:p>
    <w:p>
      <w:pPr>
        <w:spacing w:line="570" w:lineRule="exact"/>
        <w:ind w:firstLine="632" w:firstLineChars="200"/>
        <w:rPr>
          <w:szCs w:val="32"/>
        </w:rPr>
      </w:pPr>
      <w:r>
        <w:rPr>
          <w:szCs w:val="32"/>
        </w:rPr>
        <w:t>（三）符合本条第一款规定的奖励情形，多人多次举报同一事项的，给予最先举报且符合奖励情形的实名举报人一次性奖励；多人实名联名举报同一事项的，奖金可以平均分配，由联名举报的第一署名人或者第</w:t>
      </w:r>
      <w:r>
        <w:rPr>
          <w:rFonts w:hint="eastAsia"/>
          <w:szCs w:val="32"/>
        </w:rPr>
        <w:t>一</w:t>
      </w:r>
      <w:r>
        <w:rPr>
          <w:szCs w:val="32"/>
        </w:rPr>
        <w:t>署名人</w:t>
      </w:r>
      <w:r>
        <w:rPr>
          <w:rFonts w:hint="eastAsia"/>
          <w:szCs w:val="32"/>
        </w:rPr>
        <w:t>书面</w:t>
      </w:r>
      <w:r>
        <w:rPr>
          <w:szCs w:val="32"/>
        </w:rPr>
        <w:t>委托的其他署名人领取一次性奖励。</w:t>
      </w:r>
    </w:p>
    <w:p>
      <w:pPr>
        <w:spacing w:line="570" w:lineRule="exact"/>
        <w:ind w:firstLine="632" w:firstLineChars="200"/>
        <w:rPr>
          <w:szCs w:val="32"/>
        </w:rPr>
      </w:pPr>
      <w:r>
        <w:rPr>
          <w:szCs w:val="32"/>
        </w:rPr>
        <w:t>（四）旗级负有安全生产监管职责的部门在拟对举报人实施奖励时，应当与市级负有安全生产监管职责的部门进行沟通，避免出现重复奖励和奖励不当的情形。</w:t>
      </w:r>
    </w:p>
    <w:p>
      <w:pPr>
        <w:spacing w:line="570" w:lineRule="exact"/>
        <w:ind w:firstLine="632" w:firstLineChars="200"/>
        <w:rPr>
          <w:szCs w:val="32"/>
        </w:rPr>
      </w:pPr>
      <w:r>
        <w:rPr>
          <w:rFonts w:eastAsia="黑体"/>
          <w:szCs w:val="32"/>
        </w:rPr>
        <w:t>第十一条</w:t>
      </w:r>
      <w:r>
        <w:rPr>
          <w:szCs w:val="32"/>
        </w:rPr>
        <w:t xml:space="preserve"> 具有下列情形之一的，不在奖励之列；</w:t>
      </w:r>
    </w:p>
    <w:p>
      <w:pPr>
        <w:spacing w:line="570" w:lineRule="exact"/>
        <w:ind w:firstLine="632" w:firstLineChars="200"/>
        <w:rPr>
          <w:szCs w:val="32"/>
        </w:rPr>
      </w:pPr>
      <w:r>
        <w:rPr>
          <w:szCs w:val="32"/>
        </w:rPr>
        <w:t>（一）举报人所举报的事项经县级以上人民政府或负有安全生产监管职责的部门核查不属实的；</w:t>
      </w:r>
    </w:p>
    <w:p>
      <w:pPr>
        <w:spacing w:line="570" w:lineRule="exact"/>
        <w:ind w:firstLine="632" w:firstLineChars="200"/>
        <w:rPr>
          <w:szCs w:val="32"/>
        </w:rPr>
      </w:pPr>
      <w:r>
        <w:rPr>
          <w:szCs w:val="32"/>
        </w:rPr>
        <w:t>（二）具有安全生产管理、监管职责的工作人员进行举报或其授意他人进行举报的；</w:t>
      </w:r>
    </w:p>
    <w:p>
      <w:pPr>
        <w:spacing w:line="570" w:lineRule="exact"/>
        <w:ind w:firstLine="632" w:firstLineChars="200"/>
        <w:rPr>
          <w:szCs w:val="32"/>
        </w:rPr>
      </w:pPr>
      <w:r>
        <w:rPr>
          <w:szCs w:val="32"/>
        </w:rPr>
        <w:t>（三）安全生产专家为负有安全生产监管职责的部门或生产经营单位提供安全生产专家服务，在对生产经营单位检查时发现安全生产重大事故隐患和安全生产违法行为不予指出，事后进行举报或授意他人举报的；</w:t>
      </w:r>
    </w:p>
    <w:p>
      <w:pPr>
        <w:spacing w:line="570" w:lineRule="exact"/>
        <w:ind w:firstLine="632" w:firstLineChars="200"/>
        <w:rPr>
          <w:szCs w:val="32"/>
        </w:rPr>
      </w:pPr>
      <w:r>
        <w:rPr>
          <w:szCs w:val="32"/>
        </w:rPr>
        <w:t>（四）举报人匿名举报的；</w:t>
      </w:r>
    </w:p>
    <w:p>
      <w:pPr>
        <w:spacing w:line="570" w:lineRule="exact"/>
        <w:ind w:firstLine="632" w:firstLineChars="200"/>
        <w:rPr>
          <w:szCs w:val="32"/>
        </w:rPr>
      </w:pPr>
      <w:r>
        <w:rPr>
          <w:szCs w:val="32"/>
        </w:rPr>
        <w:t>（五）多人多次对同一事项进行举报，无法查实谁是最先实名举报人的；</w:t>
      </w:r>
    </w:p>
    <w:p>
      <w:pPr>
        <w:spacing w:line="570" w:lineRule="exact"/>
        <w:ind w:firstLine="632" w:firstLineChars="200"/>
        <w:rPr>
          <w:szCs w:val="32"/>
        </w:rPr>
      </w:pPr>
      <w:r>
        <w:rPr>
          <w:szCs w:val="32"/>
        </w:rPr>
        <w:t>（</w:t>
      </w:r>
      <w:r>
        <w:rPr>
          <w:rFonts w:hint="eastAsia"/>
          <w:szCs w:val="32"/>
        </w:rPr>
        <w:t>六</w:t>
      </w:r>
      <w:r>
        <w:rPr>
          <w:szCs w:val="32"/>
        </w:rPr>
        <w:t>）举报人举报的事项属于人民政府及负有安全生产监管职责的部门已经发现，并已按照有关规定核查处理完毕或正在按照有关规定进行核查处理的；</w:t>
      </w:r>
    </w:p>
    <w:p>
      <w:pPr>
        <w:spacing w:line="570" w:lineRule="exact"/>
        <w:ind w:firstLine="632" w:firstLineChars="200"/>
        <w:rPr>
          <w:szCs w:val="32"/>
        </w:rPr>
      </w:pPr>
      <w:r>
        <w:rPr>
          <w:szCs w:val="32"/>
        </w:rPr>
        <w:t>（</w:t>
      </w:r>
      <w:r>
        <w:rPr>
          <w:rFonts w:hint="eastAsia"/>
          <w:szCs w:val="32"/>
        </w:rPr>
        <w:t>七</w:t>
      </w:r>
      <w:r>
        <w:rPr>
          <w:szCs w:val="32"/>
        </w:rPr>
        <w:t>）举报人明确提出不接受奖励的；</w:t>
      </w:r>
    </w:p>
    <w:p>
      <w:pPr>
        <w:spacing w:line="570" w:lineRule="exact"/>
        <w:ind w:firstLine="632" w:firstLineChars="200"/>
        <w:rPr>
          <w:szCs w:val="32"/>
        </w:rPr>
      </w:pPr>
      <w:r>
        <w:rPr>
          <w:szCs w:val="32"/>
        </w:rPr>
        <w:t>（</w:t>
      </w:r>
      <w:r>
        <w:rPr>
          <w:rFonts w:hint="eastAsia"/>
          <w:szCs w:val="32"/>
        </w:rPr>
        <w:t>八</w:t>
      </w:r>
      <w:r>
        <w:rPr>
          <w:szCs w:val="32"/>
        </w:rPr>
        <w:t>）其他不符合法律法规、规章规定的奖励情形。</w:t>
      </w:r>
    </w:p>
    <w:p>
      <w:pPr>
        <w:spacing w:line="570" w:lineRule="exact"/>
        <w:ind w:firstLine="632" w:firstLineChars="200"/>
        <w:rPr>
          <w:szCs w:val="32"/>
        </w:rPr>
      </w:pPr>
      <w:r>
        <w:rPr>
          <w:rFonts w:eastAsia="黑体"/>
          <w:szCs w:val="32"/>
        </w:rPr>
        <w:t>第十二条</w:t>
      </w:r>
      <w:r>
        <w:rPr>
          <w:szCs w:val="32"/>
        </w:rPr>
        <w:t xml:space="preserve"> 奖励按照下列标准执行：</w:t>
      </w:r>
    </w:p>
    <w:p>
      <w:pPr>
        <w:spacing w:line="570" w:lineRule="exact"/>
        <w:ind w:firstLine="632" w:firstLineChars="200"/>
        <w:rPr>
          <w:szCs w:val="32"/>
        </w:rPr>
      </w:pPr>
      <w:r>
        <w:rPr>
          <w:szCs w:val="32"/>
        </w:rPr>
        <w:t>（一）</w:t>
      </w:r>
      <w:bookmarkStart w:id="0" w:name="_Hlk131361768"/>
      <w:r>
        <w:rPr>
          <w:szCs w:val="32"/>
        </w:rPr>
        <w:t>对举报安全生产重大事故隐患和安全生产违法生产经营建设行为的，奖励金额按照行政处罚金额的15%计算，最低奖励人民币3000元，最高奖励不超过人民币30万元。</w:t>
      </w:r>
    </w:p>
    <w:p>
      <w:pPr>
        <w:spacing w:line="570" w:lineRule="exact"/>
        <w:ind w:firstLine="632" w:firstLineChars="200"/>
        <w:rPr>
          <w:szCs w:val="32"/>
        </w:rPr>
      </w:pPr>
      <w:r>
        <w:rPr>
          <w:szCs w:val="32"/>
        </w:rPr>
        <w:t>（二）对举报瞒报、谎报事故的，按照最终确认的事故等级和查实举报的瞒报谎报死亡人数给予奖励。其中：一般事故按每查实瞒报谎报1人奖励人民币3万元计算；较大事故按每查实瞒报谎报1人奖励人民币4万元计算；重大事故按每查实瞒报谎报1人奖励人民币5万元计算；特别重大事故按每查实瞒报谎报1人奖励人民币6万元计算。最高奖励不超过人民币30万元。</w:t>
      </w:r>
    </w:p>
    <w:bookmarkEnd w:id="0"/>
    <w:p>
      <w:pPr>
        <w:spacing w:line="570" w:lineRule="exact"/>
        <w:ind w:firstLine="632" w:firstLineChars="200"/>
        <w:rPr>
          <w:szCs w:val="32"/>
        </w:rPr>
      </w:pPr>
      <w:r>
        <w:rPr>
          <w:rFonts w:eastAsia="黑体"/>
          <w:szCs w:val="32"/>
        </w:rPr>
        <w:t>第十三条</w:t>
      </w:r>
      <w:r>
        <w:rPr>
          <w:szCs w:val="32"/>
        </w:rPr>
        <w:t xml:space="preserve"> 奖励资金纳入旗级财政预算，通过现有资金渠道安排，并接受审计、监察等部门的监督。</w:t>
      </w:r>
    </w:p>
    <w:p>
      <w:pPr>
        <w:spacing w:line="570" w:lineRule="exact"/>
        <w:ind w:firstLine="632" w:firstLineChars="200"/>
        <w:rPr>
          <w:szCs w:val="32"/>
        </w:rPr>
      </w:pPr>
      <w:r>
        <w:rPr>
          <w:rFonts w:eastAsia="黑体"/>
          <w:szCs w:val="32"/>
        </w:rPr>
        <w:t>第十四条</w:t>
      </w:r>
      <w:r>
        <w:rPr>
          <w:szCs w:val="32"/>
        </w:rPr>
        <w:t xml:space="preserve"> 举报人应当对举报内容的真实性负责。借举报之名捏造事实，诬告、陷害被举报的单位或个人的，或捏造虚假材料骗取奖励资金的，以及以举报为名干扰有关单位或个人正常工作的，依法承担相应法律责任。</w:t>
      </w:r>
    </w:p>
    <w:p>
      <w:pPr>
        <w:spacing w:line="570" w:lineRule="exact"/>
        <w:ind w:firstLine="632" w:firstLineChars="200"/>
        <w:rPr>
          <w:szCs w:val="32"/>
        </w:rPr>
      </w:pPr>
      <w:r>
        <w:rPr>
          <w:rFonts w:eastAsia="黑体"/>
          <w:szCs w:val="32"/>
        </w:rPr>
        <w:t>第十五条</w:t>
      </w:r>
      <w:r>
        <w:rPr>
          <w:szCs w:val="32"/>
        </w:rPr>
        <w:t xml:space="preserve"> 对举报人的姓名（名称）、工作单位、住（地）址及通讯联系方式，负有安全生产监管职责的部门应当予以保密。被举报的单位或个人对举报人进行打击报复的，依法承担相应法律责任。</w:t>
      </w:r>
    </w:p>
    <w:p>
      <w:pPr>
        <w:spacing w:line="570" w:lineRule="exact"/>
        <w:ind w:firstLine="632" w:firstLineChars="200"/>
        <w:rPr>
          <w:szCs w:val="32"/>
        </w:rPr>
      </w:pPr>
      <w:r>
        <w:rPr>
          <w:rFonts w:eastAsia="黑体"/>
          <w:szCs w:val="32"/>
        </w:rPr>
        <w:t>第十六条</w:t>
      </w:r>
      <w:r>
        <w:rPr>
          <w:szCs w:val="32"/>
        </w:rPr>
        <w:t xml:space="preserve"> 生产经营单位从业人员或负有安全生产监管职责的部门在生产经营单位中选取的信息员举报安全生产重大事故隐患和非法违法行为的，按照有关规定执行。符合本办法规定的奖励情形的，按照规定进行奖励。</w:t>
      </w:r>
    </w:p>
    <w:p>
      <w:pPr>
        <w:spacing w:line="570" w:lineRule="exact"/>
        <w:ind w:firstLine="632" w:firstLineChars="200"/>
        <w:rPr>
          <w:szCs w:val="32"/>
        </w:rPr>
      </w:pPr>
      <w:r>
        <w:rPr>
          <w:rFonts w:eastAsia="黑体"/>
          <w:szCs w:val="32"/>
        </w:rPr>
        <w:t>第十七条</w:t>
      </w:r>
      <w:r>
        <w:rPr>
          <w:szCs w:val="32"/>
        </w:rPr>
        <w:t xml:space="preserve"> 本办法如有与有关法律、法规不一致的，按有关法律、法规执行。国家、自治区、赤峰市有关部门对有关行业领域安全生产举报奖励另有具体规定的，从其规定。本办法未尽事宜，按照国家、自治区、赤峰市有关规定执行。</w:t>
      </w:r>
    </w:p>
    <w:p>
      <w:pPr>
        <w:spacing w:line="570" w:lineRule="exact"/>
        <w:ind w:firstLine="632" w:firstLineChars="200"/>
        <w:rPr>
          <w:szCs w:val="32"/>
        </w:rPr>
      </w:pPr>
      <w:r>
        <w:rPr>
          <w:rFonts w:eastAsia="黑体"/>
          <w:szCs w:val="32"/>
        </w:rPr>
        <w:t>第十八条</w:t>
      </w:r>
      <w:r>
        <w:rPr>
          <w:szCs w:val="32"/>
        </w:rPr>
        <w:t xml:space="preserve"> 本办法由翁牛特旗应急管理局负责解释。</w:t>
      </w:r>
    </w:p>
    <w:p>
      <w:pPr>
        <w:spacing w:line="570" w:lineRule="exact"/>
        <w:ind w:firstLine="632" w:firstLineChars="200"/>
        <w:rPr>
          <w:szCs w:val="32"/>
        </w:rPr>
      </w:pPr>
      <w:r>
        <w:rPr>
          <w:rFonts w:eastAsia="黑体"/>
          <w:szCs w:val="32"/>
        </w:rPr>
        <w:t>第十九条</w:t>
      </w:r>
      <w:r>
        <w:rPr>
          <w:szCs w:val="32"/>
        </w:rPr>
        <w:t xml:space="preserve"> 本办法自印发之日起施行。</w:t>
      </w: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spacing w:line="570" w:lineRule="exact"/>
        <w:ind w:firstLine="632" w:firstLineChars="200"/>
        <w:rPr>
          <w:szCs w:val="32"/>
        </w:rPr>
      </w:pPr>
    </w:p>
    <w:p>
      <w:pPr>
        <w:pBdr>
          <w:top w:val="single" w:color="auto" w:sz="4" w:space="0"/>
          <w:bottom w:val="single" w:color="auto" w:sz="4" w:space="0"/>
        </w:pBdr>
        <w:spacing w:line="570" w:lineRule="exact"/>
        <w:ind w:firstLine="276" w:firstLineChars="100"/>
        <w:jc w:val="left"/>
        <w:textAlignment w:val="center"/>
        <w:rPr>
          <w:rFonts w:eastAsia="仿宋"/>
          <w:sz w:val="28"/>
        </w:rPr>
      </w:pPr>
      <w:r>
        <w:rPr>
          <w:rFonts w:hint="eastAsia" w:eastAsia="仿宋"/>
          <w:sz w:val="28"/>
        </w:rPr>
        <w:t>翁牛特旗人民政府办公室</w:t>
      </w:r>
      <w:r>
        <w:rPr>
          <w:rFonts w:eastAsia="仿宋"/>
          <w:sz w:val="28"/>
        </w:rPr>
        <w:t xml:space="preserve">                   2023</w:t>
      </w:r>
      <w:r>
        <w:rPr>
          <w:rFonts w:hint="eastAsia" w:eastAsia="仿宋"/>
          <w:sz w:val="28"/>
        </w:rPr>
        <w:t>年</w:t>
      </w:r>
      <w:r>
        <w:rPr>
          <w:rFonts w:eastAsia="仿宋"/>
          <w:sz w:val="28"/>
        </w:rPr>
        <w:t>4</w:t>
      </w:r>
      <w:r>
        <w:rPr>
          <w:rFonts w:hint="eastAsia" w:eastAsia="仿宋"/>
          <w:sz w:val="28"/>
        </w:rPr>
        <w:t>月</w:t>
      </w:r>
      <w:r>
        <w:rPr>
          <w:rFonts w:eastAsia="仿宋"/>
          <w:sz w:val="28"/>
        </w:rPr>
        <w:t>10</w:t>
      </w:r>
      <w:r>
        <w:rPr>
          <w:rFonts w:hint="eastAsia" w:eastAsia="仿宋"/>
          <w:sz w:val="28"/>
        </w:rPr>
        <w:t>日印发</w:t>
      </w:r>
    </w:p>
    <w:sectPr>
      <w:footerReference r:id="rId3" w:type="default"/>
      <w:footerReference r:id="rId4" w:type="even"/>
      <w:pgSz w:w="11906" w:h="16838"/>
      <w:pgMar w:top="2098" w:right="1474" w:bottom="1984" w:left="1587" w:header="850" w:footer="1587"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MTE1ZWQzYWU2YWQwNzY0MWEzNDk5YmVmYTU0MTQifQ=="/>
  </w:docVars>
  <w:rsids>
    <w:rsidRoot w:val="006F0526"/>
    <w:rsid w:val="001942E1"/>
    <w:rsid w:val="001D7B8C"/>
    <w:rsid w:val="00275693"/>
    <w:rsid w:val="00326D1B"/>
    <w:rsid w:val="003C6F60"/>
    <w:rsid w:val="003D2D55"/>
    <w:rsid w:val="00440797"/>
    <w:rsid w:val="00580184"/>
    <w:rsid w:val="005D188C"/>
    <w:rsid w:val="005D7DE4"/>
    <w:rsid w:val="006F0526"/>
    <w:rsid w:val="007070C4"/>
    <w:rsid w:val="0072740B"/>
    <w:rsid w:val="007A6FEA"/>
    <w:rsid w:val="008237AF"/>
    <w:rsid w:val="008465CC"/>
    <w:rsid w:val="0093143C"/>
    <w:rsid w:val="009A281B"/>
    <w:rsid w:val="009F1363"/>
    <w:rsid w:val="00B91465"/>
    <w:rsid w:val="00BE05A5"/>
    <w:rsid w:val="00D47DB4"/>
    <w:rsid w:val="00D63BA2"/>
    <w:rsid w:val="00DE184B"/>
    <w:rsid w:val="00DF36BA"/>
    <w:rsid w:val="00E24A1A"/>
    <w:rsid w:val="00F07AE1"/>
    <w:rsid w:val="00FF6DA2"/>
    <w:rsid w:val="0EC95C12"/>
    <w:rsid w:val="0F191A75"/>
    <w:rsid w:val="104B124C"/>
    <w:rsid w:val="172F1572"/>
    <w:rsid w:val="1BEF0853"/>
    <w:rsid w:val="1D4858AF"/>
    <w:rsid w:val="28665E9B"/>
    <w:rsid w:val="299311C1"/>
    <w:rsid w:val="2EBA4E31"/>
    <w:rsid w:val="36FA437E"/>
    <w:rsid w:val="3B914EC5"/>
    <w:rsid w:val="41755EDE"/>
    <w:rsid w:val="432664FB"/>
    <w:rsid w:val="47953C4F"/>
    <w:rsid w:val="487E4A46"/>
    <w:rsid w:val="499B4DCD"/>
    <w:rsid w:val="525070F0"/>
    <w:rsid w:val="55FD133D"/>
    <w:rsid w:val="56BF4844"/>
    <w:rsid w:val="5A6E082C"/>
    <w:rsid w:val="60303E3B"/>
    <w:rsid w:val="6BCD1BDA"/>
    <w:rsid w:val="72CC4119"/>
    <w:rsid w:val="75345775"/>
    <w:rsid w:val="756C3507"/>
    <w:rsid w:val="791B7A8F"/>
    <w:rsid w:val="7CEF73DC"/>
    <w:rsid w:val="7FA5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字符"/>
    <w:basedOn w:val="6"/>
    <w:link w:val="2"/>
    <w:uiPriority w:val="0"/>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3306</Words>
  <Characters>3337</Characters>
  <Lines>24</Lines>
  <Paragraphs>6</Paragraphs>
  <TotalTime>1</TotalTime>
  <ScaleCrop>false</ScaleCrop>
  <LinksUpToDate>false</LinksUpToDate>
  <CharactersWithSpaces>3375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2022-08-19T01:00:00Z</dcterms:created>
  <dc:creator>pc</dc:creator>
  <cp:lastModifiedBy>演示人</cp:lastModifiedBy>
  <cp:lastPrinted>2023-04-26T07:51:00Z</cp:lastPrinted>
  <dcterms:modified xsi:type="dcterms:W3CDTF">2023-06-05T07:57:12Z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F710780ACB1446BE8690F18451038204_13</vt:lpwstr>
  </property>
</Properties>
</file>