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39B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u w:val="none"/>
          <w:lang w:val="en-US" w:eastAsia="zh-CN"/>
        </w:rPr>
      </w:pPr>
      <w:r>
        <w:rPr>
          <w:rFonts w:hint="default" w:ascii="Times New Roman" w:hAnsi="Times New Roman" w:eastAsia="方正小标宋简体" w:cs="Times New Roman"/>
          <w:sz w:val="36"/>
          <w:szCs w:val="36"/>
          <w:u w:val="none"/>
          <w:lang w:val="en-US" w:eastAsia="zh-CN"/>
        </w:rPr>
        <w:t>翁牛特旗人民政府办公室</w:t>
      </w:r>
    </w:p>
    <w:p w14:paraId="2B7CC9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u w:val="none"/>
          <w:lang w:val="en-US" w:eastAsia="zh-CN"/>
        </w:rPr>
      </w:pPr>
      <w:r>
        <w:rPr>
          <w:rFonts w:hint="default" w:ascii="Times New Roman" w:hAnsi="Times New Roman" w:eastAsia="方正小标宋简体" w:cs="Times New Roman"/>
          <w:sz w:val="36"/>
          <w:szCs w:val="36"/>
          <w:u w:val="none"/>
          <w:lang w:val="en-US" w:eastAsia="zh-CN"/>
        </w:rPr>
        <w:t>关于印发翁牛特旗食品安全事故应急预案</w:t>
      </w:r>
    </w:p>
    <w:p w14:paraId="29790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u w:val="none"/>
          <w:lang w:val="en-US" w:eastAsia="zh-CN"/>
        </w:rPr>
      </w:pPr>
      <w:r>
        <w:rPr>
          <w:rFonts w:hint="default" w:ascii="Times New Roman" w:hAnsi="Times New Roman" w:eastAsia="方正小标宋简体" w:cs="Times New Roman"/>
          <w:sz w:val="36"/>
          <w:szCs w:val="36"/>
          <w:u w:val="none"/>
          <w:lang w:val="en-US" w:eastAsia="zh-CN"/>
        </w:rPr>
        <w:t>的通知</w:t>
      </w:r>
    </w:p>
    <w:p w14:paraId="401BCE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u w:val="none"/>
          <w:lang w:val="en-US" w:eastAsia="zh-CN"/>
        </w:rPr>
      </w:pPr>
    </w:p>
    <w:p w14:paraId="08CC2E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翁政办发〔2024〕</w:t>
      </w:r>
      <w:r>
        <w:rPr>
          <w:rFonts w:hint="eastAsia" w:ascii="Times New Roman" w:hAnsi="Times New Roman" w:eastAsia="仿宋_GB2312" w:cs="Times New Roman"/>
          <w:sz w:val="28"/>
          <w:szCs w:val="28"/>
          <w:u w:val="none"/>
          <w:lang w:val="en-US" w:eastAsia="zh-CN"/>
        </w:rPr>
        <w:t>47</w:t>
      </w:r>
      <w:r>
        <w:rPr>
          <w:rFonts w:hint="default" w:ascii="Times New Roman" w:hAnsi="Times New Roman" w:eastAsia="仿宋_GB2312" w:cs="Times New Roman"/>
          <w:sz w:val="28"/>
          <w:szCs w:val="28"/>
          <w:u w:val="none"/>
          <w:lang w:val="en-US" w:eastAsia="zh-CN"/>
        </w:rPr>
        <w:t>号</w:t>
      </w:r>
    </w:p>
    <w:p w14:paraId="6045FC49">
      <w:pPr>
        <w:pStyle w:val="2"/>
        <w:rPr>
          <w:rFonts w:hint="default"/>
          <w:lang w:val="en-US" w:eastAsia="zh-CN"/>
        </w:rPr>
      </w:pPr>
    </w:p>
    <w:p w14:paraId="246A7C4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各苏木乡镇街道人民政府（管理办）、大兴农场，旗直各单位，各人民团体，中区市直驻翁各单位，各行业协会：</w:t>
      </w:r>
    </w:p>
    <w:p w14:paraId="143CA9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经旗人民政府同意，现将《翁牛特旗食品安全事故应急预案》印发给你们，请结合实际，认真抓好贯彻落实。</w:t>
      </w:r>
    </w:p>
    <w:p w14:paraId="2C537DE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u w:val="none"/>
          <w:lang w:val="en-US" w:eastAsia="zh-CN"/>
        </w:rPr>
      </w:pPr>
    </w:p>
    <w:p w14:paraId="497ED80E">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翁牛特旗人民政府办公室    </w:t>
      </w:r>
    </w:p>
    <w:p w14:paraId="29A9CB91">
      <w:pPr>
        <w:keepNext w:val="0"/>
        <w:keepLines w:val="0"/>
        <w:pageBreakBefore w:val="0"/>
        <w:widowControl w:val="0"/>
        <w:kinsoku/>
        <w:wordWrap w:val="0"/>
        <w:overflowPunct/>
        <w:topLinePunct w:val="0"/>
        <w:autoSpaceDE/>
        <w:autoSpaceDN/>
        <w:bidi w:val="0"/>
        <w:adjustRightInd/>
        <w:snapToGrid/>
        <w:spacing w:line="440" w:lineRule="exact"/>
        <w:jc w:val="right"/>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2024年6月</w:t>
      </w:r>
      <w:r>
        <w:rPr>
          <w:rFonts w:hint="eastAsia" w:ascii="Times New Roman" w:hAnsi="Times New Roman" w:eastAsia="仿宋_GB2312" w:cs="Times New Roman"/>
          <w:sz w:val="28"/>
          <w:szCs w:val="28"/>
          <w:u w:val="none"/>
          <w:lang w:val="en-US" w:eastAsia="zh-CN"/>
        </w:rPr>
        <w:t>14</w:t>
      </w:r>
      <w:r>
        <w:rPr>
          <w:rFonts w:hint="default" w:ascii="Times New Roman" w:hAnsi="Times New Roman" w:eastAsia="仿宋_GB2312" w:cs="Times New Roman"/>
          <w:sz w:val="28"/>
          <w:szCs w:val="28"/>
          <w:u w:val="none"/>
          <w:lang w:val="en-US" w:eastAsia="zh-CN"/>
        </w:rPr>
        <w:t xml:space="preserve">日        </w:t>
      </w:r>
    </w:p>
    <w:p w14:paraId="459F634F">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u w:val="none"/>
          <w:lang w:val="en-US" w:eastAsia="zh-CN"/>
        </w:rPr>
      </w:pPr>
    </w:p>
    <w:p w14:paraId="6BC657AC">
      <w:pPr>
        <w:pStyle w:val="2"/>
        <w:rPr>
          <w:rFonts w:hint="default"/>
          <w:lang w:val="en-US" w:eastAsia="zh-CN"/>
        </w:rPr>
      </w:pPr>
    </w:p>
    <w:p w14:paraId="2892DF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翁牛特旗食品安全事故应急预案</w:t>
      </w:r>
    </w:p>
    <w:p w14:paraId="62F649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sz w:val="28"/>
          <w:szCs w:val="28"/>
          <w:u w:val="none"/>
          <w:lang w:val="en-US" w:eastAsia="zh-CN"/>
        </w:rPr>
      </w:pPr>
    </w:p>
    <w:p w14:paraId="7482CD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目  录</w:t>
      </w:r>
    </w:p>
    <w:p w14:paraId="5E7BBC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1 总则</w:t>
      </w:r>
    </w:p>
    <w:p w14:paraId="62A122E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1.1 编制目的</w:t>
      </w:r>
    </w:p>
    <w:p w14:paraId="024C05F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1.2 编制依据</w:t>
      </w:r>
    </w:p>
    <w:p w14:paraId="530257F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1.3 事故分级</w:t>
      </w:r>
    </w:p>
    <w:p w14:paraId="7D5C6BE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1.4 适用范围</w:t>
      </w:r>
    </w:p>
    <w:p w14:paraId="31B0A1A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2 组织指挥体系及职责</w:t>
      </w:r>
    </w:p>
    <w:p w14:paraId="2C108A0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2.1 应急机制启动</w:t>
      </w:r>
    </w:p>
    <w:p w14:paraId="553ED72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2.2 应急指挥机构</w:t>
      </w:r>
    </w:p>
    <w:p w14:paraId="09B40B6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2.3 指挥部职责</w:t>
      </w:r>
    </w:p>
    <w:p w14:paraId="71AB012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2.4 指挥部办公室职责</w:t>
      </w:r>
    </w:p>
    <w:p w14:paraId="402150F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2.5 成员单位职责</w:t>
      </w:r>
    </w:p>
    <w:p w14:paraId="63F4D92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2.6 指挥部各工作组职责</w:t>
      </w:r>
    </w:p>
    <w:p w14:paraId="45D5E5E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2.7 应急处置专业技术机构</w:t>
      </w:r>
    </w:p>
    <w:p w14:paraId="122A95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3 应急保障</w:t>
      </w:r>
    </w:p>
    <w:p w14:paraId="44BCBA9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3.1 信息保障</w:t>
      </w:r>
    </w:p>
    <w:p w14:paraId="4B479F2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3.2 医疗保障</w:t>
      </w:r>
    </w:p>
    <w:p w14:paraId="0D411D6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3.3 人员及技术保障</w:t>
      </w:r>
    </w:p>
    <w:p w14:paraId="728D156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3.4 物资与经费保障</w:t>
      </w:r>
    </w:p>
    <w:p w14:paraId="0F7439A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3.5 社会动员保障</w:t>
      </w:r>
    </w:p>
    <w:p w14:paraId="1BC2FA0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3.6 宣教培训</w:t>
      </w:r>
    </w:p>
    <w:p w14:paraId="31347AD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4 监测预警、报告与评估</w:t>
      </w:r>
    </w:p>
    <w:p w14:paraId="01FC88D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4.1 监测预警</w:t>
      </w:r>
    </w:p>
    <w:p w14:paraId="7258497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4.2 事故报告</w:t>
      </w:r>
    </w:p>
    <w:p w14:paraId="21E3846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4.3 事故评估</w:t>
      </w:r>
    </w:p>
    <w:p w14:paraId="5334815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5 应急响应</w:t>
      </w:r>
    </w:p>
    <w:p w14:paraId="567F9A4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5.1 分级响应</w:t>
      </w:r>
    </w:p>
    <w:p w14:paraId="7DAFF82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5.2 应急处置措施</w:t>
      </w:r>
    </w:p>
    <w:p w14:paraId="181614D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5.3 检测分析评估</w:t>
      </w:r>
    </w:p>
    <w:p w14:paraId="7444169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5.4 响应级别调整及终止</w:t>
      </w:r>
    </w:p>
    <w:p w14:paraId="62BFE86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5.5 信息发布</w:t>
      </w:r>
    </w:p>
    <w:p w14:paraId="091E2E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6 后期处置</w:t>
      </w:r>
    </w:p>
    <w:p w14:paraId="6E8BF5D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6.1 善后处置</w:t>
      </w:r>
    </w:p>
    <w:p w14:paraId="4E7AB32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6.2 奖惩</w:t>
      </w:r>
    </w:p>
    <w:p w14:paraId="150BAA9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6.3 总结</w:t>
      </w:r>
    </w:p>
    <w:p w14:paraId="77474C2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none"/>
          <w:lang w:val="en-US" w:eastAsia="zh-CN"/>
        </w:rPr>
        <w:t>7 附则</w:t>
      </w:r>
    </w:p>
    <w:p w14:paraId="58C729A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7.1 预案管理与更新</w:t>
      </w:r>
    </w:p>
    <w:p w14:paraId="45E3DD9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7.2 培训、演练</w:t>
      </w:r>
    </w:p>
    <w:p w14:paraId="4ACDC9A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7.3 制定与解释</w:t>
      </w:r>
    </w:p>
    <w:p w14:paraId="68B8B91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7.4 预案实施</w:t>
      </w:r>
    </w:p>
    <w:p w14:paraId="17A812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sz w:val="28"/>
          <w:szCs w:val="28"/>
          <w:u w:val="none"/>
          <w:lang w:val="en-US" w:eastAsia="zh-CN"/>
        </w:rPr>
      </w:pPr>
      <w:r>
        <w:rPr>
          <w:rFonts w:hint="default" w:ascii="Times New Roman" w:hAnsi="Times New Roman" w:eastAsia="黑体" w:cs="Times New Roman"/>
          <w:b w:val="0"/>
          <w:bCs w:val="0"/>
          <w:sz w:val="28"/>
          <w:szCs w:val="28"/>
          <w:u w:val="none"/>
          <w:lang w:val="en-US" w:eastAsia="zh-CN"/>
        </w:rPr>
        <w:t>1 总则</w:t>
      </w:r>
    </w:p>
    <w:p w14:paraId="347E5A9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 xml:space="preserve">1.1 </w:t>
      </w:r>
      <w:r>
        <w:rPr>
          <w:rFonts w:hint="default" w:ascii="Times New Roman" w:hAnsi="Times New Roman" w:eastAsia="楷体_GB2312" w:cs="Times New Roman"/>
          <w:b w:val="0"/>
          <w:bCs w:val="0"/>
          <w:sz w:val="28"/>
          <w:szCs w:val="28"/>
          <w:u w:val="none"/>
          <w:lang w:val="en-US" w:eastAsia="zh-CN"/>
        </w:rPr>
        <w:t>编制目的</w:t>
      </w:r>
    </w:p>
    <w:p w14:paraId="784E7C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建立健全应对食品安全事故运行机制，有效预防、积极应对食品安全事故，高效组织应急处置工作，最大限度地减少食品安全事故的危害，保障公众健康与生命安全，维护正常的社会经济秩序。</w:t>
      </w:r>
    </w:p>
    <w:p w14:paraId="619711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 xml:space="preserve">1.2 </w:t>
      </w:r>
      <w:r>
        <w:rPr>
          <w:rFonts w:hint="default" w:ascii="Times New Roman" w:hAnsi="Times New Roman" w:eastAsia="楷体_GB2312" w:cs="Times New Roman"/>
          <w:b w:val="0"/>
          <w:bCs w:val="0"/>
          <w:sz w:val="28"/>
          <w:szCs w:val="28"/>
          <w:u w:val="none"/>
          <w:lang w:val="en-US" w:eastAsia="zh-CN"/>
        </w:rPr>
        <w:t>编制依据</w:t>
      </w:r>
    </w:p>
    <w:p w14:paraId="35963D8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依据《中华人民共和国突发事件应对法》《中华人民共和国食品安全法》《中华人民共和国农产品质量安全法》《中华人民共和国食品安全法实施条例》《突发公共卫生事件应急条例》《国家食品安全事故应急预案》《内蒙古自治区突发公共事件总体应急预案》《内蒙古自治区食品安全事故应急预案》《赤峰市突发事件总体应急预案》及《赤峰市食品安全事故应急预案》等文件，制定本预案。</w:t>
      </w:r>
    </w:p>
    <w:p w14:paraId="322CE93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 xml:space="preserve">1.3 </w:t>
      </w:r>
      <w:r>
        <w:rPr>
          <w:rFonts w:hint="default" w:ascii="Times New Roman" w:hAnsi="Times New Roman" w:eastAsia="楷体_GB2312" w:cs="Times New Roman"/>
          <w:b w:val="0"/>
          <w:bCs w:val="0"/>
          <w:sz w:val="28"/>
          <w:szCs w:val="28"/>
          <w:u w:val="none"/>
          <w:lang w:val="en-US" w:eastAsia="zh-CN"/>
        </w:rPr>
        <w:t>事故分级</w:t>
      </w:r>
    </w:p>
    <w:p w14:paraId="3003A70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食品安全事故，指食源性疾病（包括食物中毒）、食品污染等源于食品，对人体健康有危害或者可能有危害的事故。食品安全事故共分四级，即特别重大食品安全事故（Ⅰ级）、重大食品安全事故（Ⅱ级）、较大食品安全事故（Ⅲ级）和一般食品安全事故（Ⅳ级）。事故等级的评估核定，由旗食品药品安全委员会办公室会同有关部门依照有关规定进行（分级标准见附件1）。</w:t>
      </w:r>
    </w:p>
    <w:p w14:paraId="1AE32D9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 xml:space="preserve">1.4 </w:t>
      </w:r>
      <w:r>
        <w:rPr>
          <w:rFonts w:hint="default" w:ascii="Times New Roman" w:hAnsi="Times New Roman" w:eastAsia="楷体_GB2312" w:cs="Times New Roman"/>
          <w:b w:val="0"/>
          <w:bCs w:val="0"/>
          <w:sz w:val="28"/>
          <w:szCs w:val="28"/>
          <w:u w:val="none"/>
          <w:lang w:val="en-US" w:eastAsia="zh-CN"/>
        </w:rPr>
        <w:t>适用范围</w:t>
      </w:r>
    </w:p>
    <w:p w14:paraId="6C30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本预案适用于全旗食品安全事故应对和指导工作。</w:t>
      </w:r>
    </w:p>
    <w:p w14:paraId="2627A6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sz w:val="28"/>
          <w:szCs w:val="28"/>
          <w:u w:val="none"/>
          <w:lang w:val="en-US" w:eastAsia="zh-CN"/>
        </w:rPr>
      </w:pPr>
      <w:r>
        <w:rPr>
          <w:rFonts w:hint="default" w:ascii="Times New Roman" w:hAnsi="Times New Roman" w:eastAsia="黑体" w:cs="Times New Roman"/>
          <w:b w:val="0"/>
          <w:bCs w:val="0"/>
          <w:sz w:val="28"/>
          <w:szCs w:val="28"/>
          <w:u w:val="none"/>
          <w:lang w:val="en-US" w:eastAsia="zh-CN"/>
        </w:rPr>
        <w:t>2 组织指挥体系及职责</w:t>
      </w:r>
    </w:p>
    <w:p w14:paraId="2A7A14B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2.1 应急机制启动</w:t>
      </w:r>
    </w:p>
    <w:p w14:paraId="6F2939F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食品安全事故发生后，</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食品药品安全委员会办公室会同有关部门依法组织对事故进行分析评估，核定事故级别。</w:t>
      </w:r>
    </w:p>
    <w:p w14:paraId="14A0921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达到特别重大</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文泉驿微米黑" w:cs="Times New Roman"/>
          <w:b w:val="0"/>
          <w:bCs w:val="0"/>
          <w:color w:val="000000"/>
          <w:sz w:val="28"/>
          <w:szCs w:val="28"/>
          <w:u w:val="none"/>
        </w:rPr>
        <w:t>Ⅰ</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级事故标准，需经自治区报请国务院食品安全委员会确认，并按照国务院和自治区的部署和要求，做好先期处置工作。</w:t>
      </w:r>
    </w:p>
    <w:p w14:paraId="69CF3F1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达到重大</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Ⅱ级</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事故标准需自治区人民政府协调处置的，由自治区食品药品安全委员会办公室向自治区人民政府提出启动Ⅱ级响应的建议，经批准后成立自治区重大食品安全事故应急处置指挥部</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以下简称自治区指挥部</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，统一领导和指挥事故应急处置工作。</w:t>
      </w:r>
    </w:p>
    <w:p w14:paraId="6BCE7D5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达到较大</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Ⅲ级</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事故标准需赤峰市人民政府协调处置的，由</w:t>
      </w:r>
      <w:r>
        <w:rPr>
          <w:rFonts w:hint="default" w:ascii="Times New Roman" w:hAnsi="Times New Roman" w:eastAsia="仿宋_GB2312" w:cs="Times New Roman"/>
          <w:b w:val="0"/>
          <w:bCs w:val="0"/>
          <w:color w:val="000000"/>
          <w:sz w:val="28"/>
          <w:szCs w:val="28"/>
          <w:u w:val="none"/>
          <w:lang w:eastAsia="zh-CN"/>
        </w:rPr>
        <w:t>市</w:t>
      </w:r>
      <w:r>
        <w:rPr>
          <w:rFonts w:hint="default" w:ascii="Times New Roman" w:hAnsi="Times New Roman" w:eastAsia="仿宋_GB2312" w:cs="Times New Roman"/>
          <w:b w:val="0"/>
          <w:bCs w:val="0"/>
          <w:color w:val="000000"/>
          <w:sz w:val="28"/>
          <w:szCs w:val="28"/>
          <w:u w:val="none"/>
        </w:rPr>
        <w:t>食品药品安全委员会办公室向市人民政府提出启动Ⅲ级响应的建议，经批准后成立赤峰市较大食品安全事故应急处置指挥部</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以下简称市指挥部</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，统一领导和指挥事故应急处置工作。</w:t>
      </w:r>
    </w:p>
    <w:p w14:paraId="1753B01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一般</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食品安全事故，由旗人民政府组织成立相应应急处置指挥机构，统一组织开展本行政区域事故应急处置工作。</w:t>
      </w:r>
    </w:p>
    <w:p w14:paraId="518F0BA0">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2.2 应急指挥机构</w:t>
      </w:r>
    </w:p>
    <w:p w14:paraId="04150A4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根据应急处置需要，设立</w:t>
      </w:r>
      <w:r>
        <w:rPr>
          <w:rFonts w:hint="default" w:ascii="Times New Roman" w:hAnsi="Times New Roman" w:eastAsia="仿宋_GB2312" w:cs="Times New Roman"/>
          <w:b w:val="0"/>
          <w:bCs w:val="0"/>
          <w:color w:val="000000"/>
          <w:sz w:val="28"/>
          <w:szCs w:val="28"/>
          <w:u w:val="none"/>
          <w:lang w:eastAsia="zh-CN"/>
        </w:rPr>
        <w:t>翁牛特旗</w:t>
      </w:r>
      <w:r>
        <w:rPr>
          <w:rFonts w:hint="default" w:ascii="Times New Roman" w:hAnsi="Times New Roman" w:eastAsia="仿宋_GB2312" w:cs="Times New Roman"/>
          <w:b w:val="0"/>
          <w:bCs w:val="0"/>
          <w:color w:val="000000"/>
          <w:sz w:val="28"/>
          <w:szCs w:val="28"/>
          <w:u w:val="none"/>
        </w:rPr>
        <w:t>食品安全事故应急指挥部，指挥长由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政府分管副</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长担任</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副指挥</w:t>
      </w:r>
      <w:r>
        <w:rPr>
          <w:rFonts w:hint="default" w:ascii="Times New Roman" w:hAnsi="Times New Roman" w:eastAsia="仿宋_GB2312" w:cs="Times New Roman"/>
          <w:b w:val="0"/>
          <w:bCs w:val="0"/>
          <w:color w:val="auto"/>
          <w:sz w:val="28"/>
          <w:szCs w:val="28"/>
          <w:u w:val="none"/>
        </w:rPr>
        <w:t>长由</w:t>
      </w:r>
      <w:r>
        <w:rPr>
          <w:rFonts w:hint="default" w:ascii="Times New Roman" w:hAnsi="Times New Roman" w:eastAsia="仿宋_GB2312" w:cs="Times New Roman"/>
          <w:b w:val="0"/>
          <w:bCs w:val="0"/>
          <w:color w:val="auto"/>
          <w:sz w:val="28"/>
          <w:szCs w:val="28"/>
          <w:u w:val="none"/>
          <w:lang w:eastAsia="zh-CN"/>
        </w:rPr>
        <w:t>旗</w:t>
      </w:r>
      <w:r>
        <w:rPr>
          <w:rFonts w:hint="default" w:ascii="Times New Roman" w:hAnsi="Times New Roman" w:eastAsia="仿宋_GB2312" w:cs="Times New Roman"/>
          <w:b w:val="0"/>
          <w:bCs w:val="0"/>
          <w:color w:val="auto"/>
          <w:sz w:val="28"/>
          <w:szCs w:val="28"/>
          <w:u w:val="none"/>
        </w:rPr>
        <w:t>政府</w:t>
      </w:r>
      <w:r>
        <w:rPr>
          <w:rFonts w:hint="default" w:ascii="Times New Roman" w:hAnsi="Times New Roman" w:eastAsia="仿宋_GB2312" w:cs="Times New Roman"/>
          <w:b w:val="0"/>
          <w:bCs w:val="0"/>
          <w:color w:val="auto"/>
          <w:sz w:val="28"/>
          <w:szCs w:val="28"/>
          <w:u w:val="none"/>
          <w:lang w:val="en-US" w:eastAsia="zh-CN"/>
        </w:rPr>
        <w:t>办公室</w:t>
      </w:r>
      <w:r>
        <w:rPr>
          <w:rFonts w:hint="default" w:ascii="Times New Roman" w:hAnsi="Times New Roman" w:eastAsia="仿宋_GB2312" w:cs="Times New Roman"/>
          <w:b w:val="0"/>
          <w:bCs w:val="0"/>
          <w:color w:val="auto"/>
          <w:sz w:val="28"/>
          <w:szCs w:val="28"/>
          <w:u w:val="none"/>
        </w:rPr>
        <w:t>分管副</w:t>
      </w:r>
      <w:r>
        <w:rPr>
          <w:rFonts w:hint="default" w:ascii="Times New Roman" w:hAnsi="Times New Roman" w:eastAsia="仿宋_GB2312" w:cs="Times New Roman"/>
          <w:b w:val="0"/>
          <w:bCs w:val="0"/>
          <w:color w:val="auto"/>
          <w:sz w:val="28"/>
          <w:szCs w:val="28"/>
          <w:u w:val="none"/>
          <w:lang w:val="en-US" w:eastAsia="zh-CN"/>
        </w:rPr>
        <w:t>主任</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市场监督管理局局长</w:t>
      </w:r>
      <w:r>
        <w:rPr>
          <w:rFonts w:hint="default" w:ascii="Times New Roman" w:hAnsi="Times New Roman" w:eastAsia="仿宋_GB2312" w:cs="Times New Roman"/>
          <w:b w:val="0"/>
          <w:bCs w:val="0"/>
          <w:color w:val="000000"/>
          <w:sz w:val="28"/>
          <w:szCs w:val="28"/>
          <w:u w:val="none"/>
          <w:lang w:val="en-US" w:eastAsia="zh-CN"/>
        </w:rPr>
        <w:t>和</w:t>
      </w:r>
      <w:r>
        <w:rPr>
          <w:rFonts w:hint="default" w:ascii="Times New Roman" w:hAnsi="Times New Roman" w:eastAsia="仿宋_GB2312" w:cs="Times New Roman"/>
          <w:b w:val="0"/>
          <w:bCs w:val="0"/>
          <w:color w:val="000000"/>
          <w:sz w:val="28"/>
          <w:szCs w:val="28"/>
          <w:u w:val="none"/>
        </w:rPr>
        <w:t>事发地人民政府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街道</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镇长（主任）担任</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直相关单位分管领导为成员。</w:t>
      </w:r>
    </w:p>
    <w:p w14:paraId="505409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color w:val="000000"/>
          <w:sz w:val="28"/>
          <w:szCs w:val="28"/>
          <w:u w:val="none"/>
        </w:rPr>
        <w:t>指挥部成员单位主要包括</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纪委监委、</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委宣传部</w:t>
      </w:r>
      <w:r>
        <w:rPr>
          <w:rFonts w:hint="default" w:ascii="Times New Roman" w:hAnsi="Times New Roman" w:eastAsia="仿宋_GB2312" w:cs="Times New Roman"/>
          <w:b w:val="0"/>
          <w:bCs w:val="0"/>
          <w:color w:val="000000"/>
          <w:sz w:val="28"/>
          <w:szCs w:val="28"/>
          <w:highlight w:val="none"/>
          <w:u w:val="none"/>
          <w:lang w:eastAsia="zh-CN"/>
        </w:rPr>
        <w:t>（新闻舆论室）</w:t>
      </w:r>
      <w:r>
        <w:rPr>
          <w:rFonts w:hint="default" w:ascii="Times New Roman" w:hAnsi="Times New Roman" w:eastAsia="仿宋_GB2312" w:cs="Times New Roman"/>
          <w:b w:val="0"/>
          <w:bCs w:val="0"/>
          <w:color w:val="000000"/>
          <w:sz w:val="28"/>
          <w:szCs w:val="28"/>
          <w:highlight w:val="none"/>
          <w:u w:val="none"/>
        </w:rPr>
        <w:t>、</w:t>
      </w:r>
      <w:r>
        <w:rPr>
          <w:rFonts w:hint="default" w:ascii="Times New Roman" w:hAnsi="Times New Roman" w:eastAsia="仿宋_GB2312" w:cs="Times New Roman"/>
          <w:b w:val="0"/>
          <w:bCs w:val="0"/>
          <w:color w:val="000000"/>
          <w:sz w:val="28"/>
          <w:szCs w:val="28"/>
          <w:u w:val="none"/>
        </w:rPr>
        <w:t>网信办，</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发改委、教育局、工</w:t>
      </w:r>
      <w:r>
        <w:rPr>
          <w:rFonts w:hint="default" w:ascii="Times New Roman" w:hAnsi="Times New Roman" w:eastAsia="仿宋_GB2312" w:cs="Times New Roman"/>
          <w:b w:val="0"/>
          <w:bCs w:val="0"/>
          <w:color w:val="000000"/>
          <w:sz w:val="28"/>
          <w:szCs w:val="28"/>
          <w:u w:val="none"/>
          <w:lang w:eastAsia="zh-CN"/>
        </w:rPr>
        <w:t>科</w:t>
      </w:r>
      <w:r>
        <w:rPr>
          <w:rFonts w:hint="default" w:ascii="Times New Roman" w:hAnsi="Times New Roman" w:eastAsia="仿宋_GB2312" w:cs="Times New Roman"/>
          <w:b w:val="0"/>
          <w:bCs w:val="0"/>
          <w:color w:val="000000"/>
          <w:sz w:val="28"/>
          <w:szCs w:val="28"/>
          <w:u w:val="none"/>
        </w:rPr>
        <w:t>局、民委、</w:t>
      </w:r>
      <w:r>
        <w:rPr>
          <w:rFonts w:hint="default" w:ascii="Times New Roman" w:hAnsi="Times New Roman" w:eastAsia="仿宋_GB2312" w:cs="Times New Roman"/>
          <w:b w:val="0"/>
          <w:bCs w:val="0"/>
          <w:color w:val="000000"/>
          <w:sz w:val="28"/>
          <w:szCs w:val="28"/>
          <w:u w:val="none"/>
          <w:lang w:eastAsia="zh-CN"/>
        </w:rPr>
        <w:t>宗教事务局</w:t>
      </w:r>
      <w:r>
        <w:rPr>
          <w:rFonts w:hint="eastAsia"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公安局、民政局、财政局、生态环境局、住建局、交通运输局、农牧局、商</w:t>
      </w:r>
      <w:r>
        <w:rPr>
          <w:rFonts w:hint="default" w:ascii="Times New Roman" w:hAnsi="Times New Roman" w:eastAsia="仿宋_GB2312" w:cs="Times New Roman"/>
          <w:b w:val="0"/>
          <w:bCs w:val="0"/>
          <w:color w:val="000000"/>
          <w:sz w:val="28"/>
          <w:szCs w:val="28"/>
          <w:u w:val="none"/>
          <w:lang w:eastAsia="zh-CN"/>
        </w:rPr>
        <w:t>投</w:t>
      </w:r>
      <w:r>
        <w:rPr>
          <w:rFonts w:hint="default" w:ascii="Times New Roman" w:hAnsi="Times New Roman" w:eastAsia="仿宋_GB2312" w:cs="Times New Roman"/>
          <w:b w:val="0"/>
          <w:bCs w:val="0"/>
          <w:color w:val="000000"/>
          <w:sz w:val="28"/>
          <w:szCs w:val="28"/>
          <w:u w:val="none"/>
        </w:rPr>
        <w:t>局、文化旅游</w:t>
      </w:r>
      <w:r>
        <w:rPr>
          <w:rFonts w:hint="eastAsia" w:ascii="Times New Roman" w:hAnsi="Times New Roman" w:eastAsia="仿宋_GB2312" w:cs="Times New Roman"/>
          <w:b w:val="0"/>
          <w:bCs w:val="0"/>
          <w:color w:val="000000"/>
          <w:sz w:val="28"/>
          <w:szCs w:val="28"/>
          <w:u w:val="none"/>
          <w:lang w:val="en-US" w:eastAsia="zh-CN"/>
        </w:rPr>
        <w:t>体育</w:t>
      </w:r>
      <w:r>
        <w:rPr>
          <w:rFonts w:hint="default" w:ascii="Times New Roman" w:hAnsi="Times New Roman" w:eastAsia="仿宋_GB2312" w:cs="Times New Roman"/>
          <w:b w:val="0"/>
          <w:bCs w:val="0"/>
          <w:color w:val="000000"/>
          <w:sz w:val="28"/>
          <w:szCs w:val="28"/>
          <w:u w:val="none"/>
        </w:rPr>
        <w:t>局、卫健委、应急管理局、市场监督管理局、食品药品安全委员会办公室等部门以及相关行业协会。</w:t>
      </w:r>
    </w:p>
    <w:p w14:paraId="2FF9B66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指挥部办公室设在</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市场监督管理局。</w:t>
      </w:r>
    </w:p>
    <w:p w14:paraId="70E0334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2.3 指挥部职责</w:t>
      </w:r>
    </w:p>
    <w:p w14:paraId="68AE62B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指挥部负责统一领导事故应急处置工作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研究应急决策和部署</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组织发布事故的重要信息</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审议批准指挥部办公室提交的应急处置工作报告</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其他应急处置工作。指挥部下设工作组。</w:t>
      </w:r>
    </w:p>
    <w:p w14:paraId="5637685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2.4 指挥部办公室职责</w:t>
      </w:r>
    </w:p>
    <w:p w14:paraId="7FCDBC3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承担指挥部的日常工作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主要负责贯彻落实指挥部的各项部署，组织实施事故应急处置工作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检查督促相关地区和部门做好各项应急处置工作，及时有效地控制事故，防止事态蔓延扩大</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研究协调解决事故应急处理工作中的具体问题</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向</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人民政府、指挥部及其成员单位报告、通报事故应急处置工作情况</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组织信息发布。指挥部办公室建立会商、发文、信息发布和督查等制度，确保快速反应、高效处置。</w:t>
      </w:r>
    </w:p>
    <w:p w14:paraId="5C808EC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2.5 成员单位职责</w:t>
      </w:r>
    </w:p>
    <w:p w14:paraId="2E53661A">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纪委监委</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负责对行政事业单位工作人员在食品安全事故以及应急处置工作中失职</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渎职等违法违纪行为的</w:t>
      </w:r>
      <w:r>
        <w:rPr>
          <w:rFonts w:hint="eastAsia" w:ascii="Times New Roman" w:hAnsi="Times New Roman" w:eastAsia="仿宋_GB2312" w:cs="Times New Roman"/>
          <w:b w:val="0"/>
          <w:bCs w:val="0"/>
          <w:color w:val="000000"/>
          <w:sz w:val="28"/>
          <w:szCs w:val="28"/>
          <w:u w:val="none"/>
          <w:lang w:val="en-US" w:eastAsia="zh-CN"/>
        </w:rPr>
        <w:t>审查</w:t>
      </w:r>
      <w:r>
        <w:rPr>
          <w:rFonts w:hint="default" w:ascii="Times New Roman" w:hAnsi="Times New Roman" w:eastAsia="仿宋_GB2312" w:cs="Times New Roman"/>
          <w:b w:val="0"/>
          <w:bCs w:val="0"/>
          <w:color w:val="000000"/>
          <w:sz w:val="28"/>
          <w:szCs w:val="28"/>
          <w:u w:val="none"/>
        </w:rPr>
        <w:t>调查。</w:t>
      </w:r>
    </w:p>
    <w:p w14:paraId="0446C5A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委宣传部</w:t>
      </w:r>
      <w:r>
        <w:rPr>
          <w:rFonts w:hint="default" w:ascii="Times New Roman" w:hAnsi="Times New Roman" w:eastAsia="仿宋_GB2312" w:cs="Times New Roman"/>
          <w:b w:val="0"/>
          <w:bCs w:val="0"/>
          <w:color w:val="000000"/>
          <w:sz w:val="28"/>
          <w:szCs w:val="28"/>
          <w:u w:val="none"/>
          <w:lang w:eastAsia="zh-CN"/>
        </w:rPr>
        <w:t>（新闻舆论室）：</w:t>
      </w:r>
      <w:r>
        <w:rPr>
          <w:rFonts w:hint="default" w:ascii="Times New Roman" w:hAnsi="Times New Roman" w:eastAsia="仿宋_GB2312" w:cs="Times New Roman"/>
          <w:b w:val="0"/>
          <w:bCs w:val="0"/>
          <w:color w:val="000000"/>
          <w:sz w:val="28"/>
          <w:szCs w:val="28"/>
          <w:u w:val="none"/>
        </w:rPr>
        <w:t>负责制定</w:t>
      </w:r>
      <w:r>
        <w:rPr>
          <w:rFonts w:hint="default" w:ascii="Times New Roman" w:hAnsi="Times New Roman" w:eastAsia="仿宋_GB2312" w:cs="Times New Roman"/>
          <w:b w:val="0"/>
          <w:bCs w:val="0"/>
          <w:color w:val="000000"/>
          <w:sz w:val="28"/>
          <w:szCs w:val="28"/>
          <w:highlight w:val="none"/>
          <w:u w:val="none"/>
          <w:lang w:val="en-US" w:eastAsia="zh-CN"/>
        </w:rPr>
        <w:t>一般</w:t>
      </w:r>
      <w:r>
        <w:rPr>
          <w:rFonts w:hint="default" w:ascii="Times New Roman" w:hAnsi="Times New Roman" w:eastAsia="仿宋_GB2312" w:cs="Times New Roman"/>
          <w:b w:val="0"/>
          <w:bCs w:val="0"/>
          <w:color w:val="000000"/>
          <w:sz w:val="28"/>
          <w:szCs w:val="28"/>
          <w:u w:val="none"/>
        </w:rPr>
        <w:t>食品安全事故宣传报道和舆论引导工作方案，协调事故调查处置部门及时发布权威信息，组织新闻媒体做好宣传报道和社会舆论引导。</w:t>
      </w:r>
    </w:p>
    <w:p w14:paraId="47D2018D">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委网信办</w:t>
      </w: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负责</w:t>
      </w:r>
      <w:r>
        <w:rPr>
          <w:rFonts w:hint="eastAsia" w:ascii="Times New Roman" w:hAnsi="Times New Roman" w:eastAsia="仿宋_GB2312" w:cs="Times New Roman"/>
          <w:b w:val="0"/>
          <w:bCs w:val="0"/>
          <w:color w:val="000000"/>
          <w:sz w:val="28"/>
          <w:szCs w:val="28"/>
          <w:u w:val="none"/>
        </w:rPr>
        <w:t>开展网络举报和谣言治理等工作</w:t>
      </w:r>
      <w:r>
        <w:rPr>
          <w:rFonts w:hint="eastAsia"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加强对属地网站平台互联网信息管理和网上舆论引导，监控网络舆情，配合公安部门依法查处违法网站。</w:t>
      </w:r>
    </w:p>
    <w:p w14:paraId="0891316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4</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发改委</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负责粮食收购、储存环节和政策性用粮购销活动中发生的粮食安全事故的应急处置和违法行为的调查处理</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封存可能导致食品安全事故的粮食</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对确认属于被污染的粮食</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依法处理</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负责组织食品安全事故应急救援所需重要生活必需品的调配供应</w:t>
      </w:r>
      <w:r>
        <w:rPr>
          <w:rFonts w:hint="eastAsia" w:ascii="Times New Roman" w:hAnsi="Times New Roman" w:eastAsia="仿宋_GB2312" w:cs="Times New Roman"/>
          <w:b w:val="0"/>
          <w:bCs w:val="0"/>
          <w:color w:val="000000"/>
          <w:sz w:val="28"/>
          <w:szCs w:val="28"/>
          <w:u w:val="none"/>
          <w:lang w:eastAsia="zh-CN"/>
        </w:rPr>
        <w:t>；会同有关部门推动餐厨废弃物资源化利用和无害化处理</w:t>
      </w:r>
      <w:r>
        <w:rPr>
          <w:rFonts w:hint="default" w:ascii="Times New Roman" w:hAnsi="Times New Roman" w:eastAsia="仿宋_GB2312" w:cs="Times New Roman"/>
          <w:b w:val="0"/>
          <w:bCs w:val="0"/>
          <w:color w:val="000000"/>
          <w:sz w:val="28"/>
          <w:szCs w:val="28"/>
          <w:u w:val="none"/>
        </w:rPr>
        <w:t>。</w:t>
      </w:r>
    </w:p>
    <w:p w14:paraId="3DCF44FD">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5</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教育局</w:t>
      </w: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负责</w:t>
      </w:r>
      <w:r>
        <w:rPr>
          <w:rFonts w:hint="default" w:ascii="Times New Roman" w:hAnsi="Times New Roman" w:eastAsia="仿宋_GB2312" w:cs="Times New Roman"/>
          <w:b w:val="0"/>
          <w:bCs w:val="0"/>
          <w:color w:val="000000"/>
          <w:sz w:val="28"/>
          <w:szCs w:val="28"/>
          <w:u w:val="none"/>
        </w:rPr>
        <w:t>协助有关部门对学校食堂、在校学生集体用餐造成的食品安全事故进行调查及组织应急处置。</w:t>
      </w:r>
    </w:p>
    <w:p w14:paraId="43F5ED9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6</w:t>
      </w:r>
      <w:r>
        <w:rPr>
          <w:rFonts w:hint="default" w:ascii="Times New Roman" w:hAnsi="Times New Roman" w:eastAsia="仿宋_GB2312" w:cs="Times New Roman"/>
          <w:b w:val="0"/>
          <w:bCs w:val="0"/>
          <w:color w:val="000000"/>
          <w:sz w:val="28"/>
          <w:szCs w:val="28"/>
          <w:u w:val="none"/>
          <w:lang w:eastAsia="zh-CN"/>
        </w:rPr>
        <w:t>）旗工科</w:t>
      </w:r>
      <w:r>
        <w:rPr>
          <w:rFonts w:hint="default" w:ascii="Times New Roman" w:hAnsi="Times New Roman" w:eastAsia="仿宋_GB2312" w:cs="Times New Roman"/>
          <w:b w:val="0"/>
          <w:bCs w:val="0"/>
          <w:color w:val="000000"/>
          <w:sz w:val="28"/>
          <w:szCs w:val="28"/>
          <w:u w:val="none"/>
        </w:rPr>
        <w:t>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负责协助乳品、转基因食品、酒类和食盐等特定食品安全事故的调查和应急处置</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协助食品安全事故应急处置所需设备、装备及相关产品的保障供给。</w:t>
      </w:r>
    </w:p>
    <w:p w14:paraId="7187399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7</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民委</w:t>
      </w: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负责</w:t>
      </w:r>
      <w:r>
        <w:rPr>
          <w:rFonts w:hint="default" w:ascii="Times New Roman" w:hAnsi="Times New Roman" w:eastAsia="仿宋_GB2312" w:cs="Times New Roman"/>
          <w:b w:val="0"/>
          <w:bCs w:val="0"/>
          <w:color w:val="000000"/>
          <w:sz w:val="28"/>
          <w:szCs w:val="28"/>
          <w:u w:val="none"/>
        </w:rPr>
        <w:t>协助市场监管部门对清真食品进行监督管理，协助有关部门对清真餐饮单位造成的食品安全事故进行调查及组织应急处理。</w:t>
      </w:r>
    </w:p>
    <w:p w14:paraId="15B72BA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b w:val="0"/>
          <w:bCs w:val="0"/>
          <w:color w:val="000000"/>
          <w:sz w:val="28"/>
          <w:szCs w:val="28"/>
          <w:u w:val="none"/>
          <w:lang w:eastAsia="zh-CN"/>
        </w:rPr>
      </w:pPr>
      <w:r>
        <w:rPr>
          <w:rFonts w:hint="eastAsia"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8</w:t>
      </w:r>
      <w:r>
        <w:rPr>
          <w:rFonts w:hint="eastAsia"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eastAsia="zh-CN"/>
        </w:rPr>
        <w:t>旗</w:t>
      </w:r>
      <w:r>
        <w:rPr>
          <w:rFonts w:hint="eastAsia" w:ascii="Times New Roman" w:hAnsi="Times New Roman" w:eastAsia="仿宋_GB2312" w:cs="Times New Roman"/>
          <w:b w:val="0"/>
          <w:bCs w:val="0"/>
          <w:color w:val="000000"/>
          <w:sz w:val="28"/>
          <w:szCs w:val="28"/>
          <w:u w:val="none"/>
          <w:lang w:eastAsia="zh-CN"/>
        </w:rPr>
        <w:t>宗教事务局</w:t>
      </w:r>
      <w:r>
        <w:rPr>
          <w:rFonts w:hint="default" w:ascii="Times New Roman" w:hAnsi="Times New Roman" w:eastAsia="仿宋_GB2312" w:cs="Times New Roman"/>
          <w:b w:val="0"/>
          <w:bCs w:val="0"/>
          <w:color w:val="000000"/>
          <w:sz w:val="28"/>
          <w:szCs w:val="28"/>
          <w:u w:val="none"/>
          <w:lang w:eastAsia="zh-CN"/>
        </w:rPr>
        <w:t>：</w:t>
      </w:r>
      <w:r>
        <w:rPr>
          <w:rFonts w:hint="eastAsia" w:ascii="仿宋_GB2312" w:eastAsia="仿宋_GB2312"/>
          <w:b w:val="0"/>
          <w:bCs w:val="0"/>
          <w:sz w:val="28"/>
          <w:szCs w:val="28"/>
          <w:u w:val="none"/>
        </w:rPr>
        <w:t>负责配合相关部门做好寺观等宗教场所食品安全突发事件的预防控制、应急处置和调查处理</w:t>
      </w:r>
      <w:r>
        <w:rPr>
          <w:rFonts w:hint="eastAsia" w:ascii="仿宋_GB2312" w:eastAsia="仿宋_GB2312"/>
          <w:b w:val="0"/>
          <w:bCs w:val="0"/>
          <w:sz w:val="28"/>
          <w:szCs w:val="28"/>
          <w:u w:val="none"/>
          <w:lang w:eastAsia="zh-CN"/>
        </w:rPr>
        <w:t>。</w:t>
      </w:r>
    </w:p>
    <w:p w14:paraId="66D3E11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9</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公安局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负责对食品安全事故中涉嫌犯罪行为的侦查工作</w:t>
      </w:r>
      <w:r>
        <w:rPr>
          <w:rFonts w:hint="default" w:ascii="Times New Roman" w:hAnsi="Times New Roman" w:eastAsia="仿宋_GB2312" w:cs="Times New Roman"/>
          <w:b w:val="0"/>
          <w:bCs w:val="0"/>
          <w:color w:val="000000"/>
          <w:sz w:val="28"/>
          <w:szCs w:val="28"/>
          <w:u w:val="none"/>
          <w:lang w:eastAsia="zh-CN"/>
        </w:rPr>
        <w:t>；</w:t>
      </w:r>
      <w:r>
        <w:rPr>
          <w:rFonts w:hint="eastAsia" w:ascii="仿宋_GB2312" w:eastAsia="仿宋_GB2312"/>
          <w:b w:val="0"/>
          <w:bCs w:val="0"/>
          <w:sz w:val="28"/>
          <w:szCs w:val="28"/>
          <w:u w:val="none"/>
        </w:rPr>
        <w:t>会同相关部门加强行政执法与刑事司法衔接</w:t>
      </w:r>
      <w:r>
        <w:rPr>
          <w:rFonts w:hint="eastAsia" w:ascii="仿宋_GB2312" w:eastAsia="仿宋_GB2312"/>
          <w:b w:val="0"/>
          <w:bCs w:val="0"/>
          <w:sz w:val="28"/>
          <w:szCs w:val="28"/>
          <w:u w:val="none"/>
          <w:lang w:eastAsia="zh-CN"/>
        </w:rPr>
        <w:t>，</w:t>
      </w:r>
      <w:r>
        <w:rPr>
          <w:rFonts w:hint="eastAsia" w:ascii="仿宋_GB2312" w:eastAsia="仿宋_GB2312"/>
          <w:b w:val="0"/>
          <w:bCs w:val="0"/>
          <w:sz w:val="28"/>
          <w:szCs w:val="28"/>
          <w:u w:val="none"/>
        </w:rPr>
        <w:t>依法依规办理行政执法部门移送的涉嫌食品安全犯罪案件及拟适用行政拘留违法案件</w:t>
      </w:r>
      <w:r>
        <w:rPr>
          <w:rFonts w:hint="eastAsia" w:ascii="仿宋_GB2312" w:eastAsia="仿宋_GB2312"/>
          <w:b w:val="0"/>
          <w:bCs w:val="0"/>
          <w:sz w:val="28"/>
          <w:szCs w:val="28"/>
          <w:u w:val="none"/>
          <w:lang w:eastAsia="zh-CN"/>
        </w:rPr>
        <w:t>；</w:t>
      </w:r>
      <w:r>
        <w:rPr>
          <w:rFonts w:hint="default" w:ascii="Times New Roman" w:hAnsi="Times New Roman" w:eastAsia="仿宋_GB2312" w:cs="Times New Roman"/>
          <w:b w:val="0"/>
          <w:bCs w:val="0"/>
          <w:color w:val="000000"/>
          <w:sz w:val="28"/>
          <w:szCs w:val="28"/>
          <w:u w:val="none"/>
        </w:rPr>
        <w:t>加强对食品安全事故现场的治安管理，有效维护社会治安秩序。</w:t>
      </w:r>
    </w:p>
    <w:p w14:paraId="21CF612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eastAsia" w:ascii="Times New Roman" w:hAnsi="Times New Roman" w:eastAsia="仿宋_GB2312" w:cs="Times New Roman"/>
          <w:b w:val="0"/>
          <w:bCs w:val="0"/>
          <w:color w:val="000000"/>
          <w:sz w:val="28"/>
          <w:szCs w:val="28"/>
          <w:u w:val="none"/>
          <w:lang w:eastAsia="zh-CN"/>
        </w:rPr>
      </w:pP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10</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民政局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负责协助做好受食品安全事故影响困难群众的生活救助工作</w:t>
      </w:r>
      <w:r>
        <w:rPr>
          <w:rFonts w:hint="eastAsia" w:ascii="仿宋_GB2312" w:eastAsia="仿宋_GB2312"/>
          <w:b w:val="0"/>
          <w:bCs w:val="0"/>
          <w:sz w:val="28"/>
          <w:szCs w:val="28"/>
          <w:u w:val="none"/>
        </w:rPr>
        <w:t>。</w:t>
      </w:r>
    </w:p>
    <w:p w14:paraId="440F4AE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财政局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负责食品安全事故应急处置等工作所需资金的保障和管理。</w:t>
      </w:r>
    </w:p>
    <w:p w14:paraId="6FAC4FA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生态环境局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负责造成食品安全事故的环境污染事件的调查处置工作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开展环境污染处置</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对造成食品安全事故的环境违法行为追究相应责任。</w:t>
      </w:r>
    </w:p>
    <w:p w14:paraId="4E6B230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）旗</w:t>
      </w:r>
      <w:r>
        <w:rPr>
          <w:rFonts w:hint="eastAsia" w:ascii="Times New Roman" w:hAnsi="Times New Roman" w:eastAsia="仿宋_GB2312" w:cs="Times New Roman"/>
          <w:b w:val="0"/>
          <w:bCs w:val="0"/>
          <w:color w:val="000000"/>
          <w:sz w:val="28"/>
          <w:szCs w:val="28"/>
          <w:u w:val="none"/>
          <w:lang w:eastAsia="zh-CN"/>
        </w:rPr>
        <w:t>住建局</w:t>
      </w: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负责</w:t>
      </w:r>
      <w:r>
        <w:rPr>
          <w:rFonts w:hint="default" w:ascii="Times New Roman" w:hAnsi="Times New Roman" w:eastAsia="仿宋_GB2312" w:cs="Times New Roman"/>
          <w:b w:val="0"/>
          <w:bCs w:val="0"/>
          <w:color w:val="000000"/>
          <w:sz w:val="28"/>
          <w:szCs w:val="28"/>
          <w:u w:val="none"/>
        </w:rPr>
        <w:t>协助市场监督管理部门对建筑工地食堂的食品安全状况进行检查，协助有关部门对建筑工地食堂造成的食品安全事故进行调查</w:t>
      </w:r>
      <w:r>
        <w:rPr>
          <w:rFonts w:hint="eastAsia" w:ascii="Times New Roman" w:hAnsi="Times New Roman" w:eastAsia="仿宋_GB2312" w:cs="Times New Roman"/>
          <w:b w:val="0"/>
          <w:bCs w:val="0"/>
          <w:color w:val="000000"/>
          <w:sz w:val="28"/>
          <w:szCs w:val="28"/>
          <w:u w:val="none"/>
          <w:lang w:eastAsia="zh-CN"/>
        </w:rPr>
        <w:t>；会同有关部门开展建筑工地食堂食品安全事故</w:t>
      </w:r>
      <w:r>
        <w:rPr>
          <w:rFonts w:hint="default" w:ascii="Times New Roman" w:hAnsi="Times New Roman" w:eastAsia="仿宋_GB2312" w:cs="Times New Roman"/>
          <w:b w:val="0"/>
          <w:bCs w:val="0"/>
          <w:color w:val="000000"/>
          <w:sz w:val="28"/>
          <w:szCs w:val="28"/>
          <w:u w:val="none"/>
        </w:rPr>
        <w:t>应急</w:t>
      </w:r>
      <w:r>
        <w:rPr>
          <w:rFonts w:hint="eastAsia" w:ascii="Times New Roman" w:hAnsi="Times New Roman" w:eastAsia="仿宋_GB2312" w:cs="Times New Roman"/>
          <w:b w:val="0"/>
          <w:bCs w:val="0"/>
          <w:color w:val="000000"/>
          <w:sz w:val="28"/>
          <w:szCs w:val="28"/>
          <w:u w:val="none"/>
          <w:lang w:eastAsia="zh-CN"/>
        </w:rPr>
        <w:t>处置工作</w:t>
      </w:r>
      <w:r>
        <w:rPr>
          <w:rFonts w:hint="default" w:ascii="Times New Roman" w:hAnsi="Times New Roman" w:eastAsia="仿宋_GB2312" w:cs="Times New Roman"/>
          <w:b w:val="0"/>
          <w:bCs w:val="0"/>
          <w:color w:val="000000"/>
          <w:sz w:val="28"/>
          <w:szCs w:val="28"/>
          <w:u w:val="none"/>
        </w:rPr>
        <w:t>。</w:t>
      </w:r>
    </w:p>
    <w:p w14:paraId="07737B92">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4</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交通运输局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协助提供事故应急处置过程中的交通运输保障。</w:t>
      </w:r>
    </w:p>
    <w:p w14:paraId="1A3D204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5</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农牧局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负责食用农畜水产品进入批发零售市场或生产加工企业前的质量安全事故中违法行为的调查处理</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并依法采取必要的应急处置措施，防止或者减轻社会危害</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负责组织开展食用农畜水产品种植养殖环节相关检测和风险评估，提出评估结论</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w:t>
      </w:r>
      <w:r>
        <w:rPr>
          <w:rFonts w:hint="default" w:ascii="Times New Roman" w:hAnsi="Times New Roman" w:eastAsia="仿宋_GB2312" w:cs="Times New Roman"/>
          <w:b w:val="0"/>
          <w:bCs w:val="0"/>
          <w:color w:val="000000"/>
          <w:sz w:val="28"/>
          <w:szCs w:val="28"/>
          <w:u w:val="none"/>
          <w:lang w:val="en-US" w:eastAsia="zh-CN"/>
        </w:rPr>
        <w:t>畜禽</w:t>
      </w:r>
      <w:r>
        <w:rPr>
          <w:rFonts w:hint="default" w:ascii="Times New Roman" w:hAnsi="Times New Roman" w:eastAsia="仿宋_GB2312" w:cs="Times New Roman"/>
          <w:b w:val="0"/>
          <w:bCs w:val="0"/>
          <w:color w:val="000000"/>
          <w:sz w:val="28"/>
          <w:szCs w:val="28"/>
          <w:u w:val="none"/>
        </w:rPr>
        <w:t>屠宰环节肉食品质量安全事故中违法行为的调查处理</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并依法采取必要的应急处置措施，防止或者减轻社会危害。</w:t>
      </w:r>
    </w:p>
    <w:p w14:paraId="0010DFE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6</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商</w:t>
      </w:r>
      <w:r>
        <w:rPr>
          <w:rFonts w:hint="default" w:ascii="Times New Roman" w:hAnsi="Times New Roman" w:eastAsia="仿宋_GB2312" w:cs="Times New Roman"/>
          <w:b w:val="0"/>
          <w:bCs w:val="0"/>
          <w:color w:val="000000"/>
          <w:sz w:val="28"/>
          <w:szCs w:val="28"/>
          <w:u w:val="none"/>
          <w:lang w:eastAsia="zh-CN"/>
        </w:rPr>
        <w:t>投</w:t>
      </w:r>
      <w:r>
        <w:rPr>
          <w:rFonts w:hint="default" w:ascii="Times New Roman" w:hAnsi="Times New Roman" w:eastAsia="仿宋_GB2312" w:cs="Times New Roman"/>
          <w:b w:val="0"/>
          <w:bCs w:val="0"/>
          <w:color w:val="000000"/>
          <w:sz w:val="28"/>
          <w:szCs w:val="28"/>
          <w:u w:val="none"/>
        </w:rPr>
        <w:t>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发生</w:t>
      </w:r>
      <w:r>
        <w:rPr>
          <w:rFonts w:hint="default" w:ascii="Times New Roman" w:hAnsi="Times New Roman" w:eastAsia="仿宋_GB2312" w:cs="Times New Roman"/>
          <w:b w:val="0"/>
          <w:bCs w:val="0"/>
          <w:color w:val="auto"/>
          <w:sz w:val="28"/>
          <w:szCs w:val="28"/>
          <w:highlight w:val="none"/>
          <w:u w:val="none"/>
          <w:lang w:val="en-US" w:eastAsia="zh-CN"/>
        </w:rPr>
        <w:t>一般及</w:t>
      </w:r>
      <w:r>
        <w:rPr>
          <w:rFonts w:hint="default" w:ascii="Times New Roman" w:hAnsi="Times New Roman" w:eastAsia="仿宋_GB2312" w:cs="Times New Roman"/>
          <w:b w:val="0"/>
          <w:bCs w:val="0"/>
          <w:color w:val="000000"/>
          <w:sz w:val="28"/>
          <w:szCs w:val="28"/>
          <w:u w:val="none"/>
        </w:rPr>
        <w:t>以上食品安全事故时，</w:t>
      </w:r>
      <w:r>
        <w:rPr>
          <w:rFonts w:hint="eastAsia" w:ascii="Times New Roman" w:hAnsi="Times New Roman" w:eastAsia="仿宋_GB2312" w:cs="Times New Roman"/>
          <w:b w:val="0"/>
          <w:bCs w:val="0"/>
          <w:color w:val="000000"/>
          <w:sz w:val="28"/>
          <w:szCs w:val="28"/>
          <w:u w:val="none"/>
          <w:lang w:val="en-US" w:eastAsia="zh-CN"/>
        </w:rPr>
        <w:t>负责</w:t>
      </w:r>
      <w:r>
        <w:rPr>
          <w:rFonts w:hint="default" w:ascii="Times New Roman" w:hAnsi="Times New Roman" w:eastAsia="仿宋_GB2312" w:cs="Times New Roman"/>
          <w:b w:val="0"/>
          <w:bCs w:val="0"/>
          <w:color w:val="000000"/>
          <w:sz w:val="28"/>
          <w:szCs w:val="28"/>
          <w:u w:val="none"/>
        </w:rPr>
        <w:t>协助相关部门保证生活必需品供应，并指导促进事故后餐饮行业恢复经营活动，协助进出口环节食品安全事故调查处理。</w:t>
      </w:r>
    </w:p>
    <w:p w14:paraId="1F15C9B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7</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文化旅游</w:t>
      </w:r>
      <w:r>
        <w:rPr>
          <w:rFonts w:hint="eastAsia" w:ascii="Times New Roman" w:hAnsi="Times New Roman" w:eastAsia="仿宋_GB2312" w:cs="Times New Roman"/>
          <w:b w:val="0"/>
          <w:bCs w:val="0"/>
          <w:color w:val="000000"/>
          <w:sz w:val="28"/>
          <w:szCs w:val="28"/>
          <w:u w:val="none"/>
          <w:lang w:val="en-US" w:eastAsia="zh-CN"/>
        </w:rPr>
        <w:t>体育</w:t>
      </w:r>
      <w:r>
        <w:rPr>
          <w:rFonts w:hint="default" w:ascii="Times New Roman" w:hAnsi="Times New Roman" w:eastAsia="仿宋_GB2312" w:cs="Times New Roman"/>
          <w:b w:val="0"/>
          <w:bCs w:val="0"/>
          <w:color w:val="000000"/>
          <w:sz w:val="28"/>
          <w:szCs w:val="28"/>
          <w:u w:val="none"/>
        </w:rPr>
        <w:t>局</w:t>
      </w: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负责</w:t>
      </w:r>
      <w:r>
        <w:rPr>
          <w:rFonts w:hint="default" w:ascii="Times New Roman" w:hAnsi="Times New Roman" w:eastAsia="仿宋_GB2312" w:cs="Times New Roman"/>
          <w:b w:val="0"/>
          <w:bCs w:val="0"/>
          <w:color w:val="000000"/>
          <w:sz w:val="28"/>
          <w:szCs w:val="28"/>
          <w:u w:val="none"/>
        </w:rPr>
        <w:t>协助市场监管部门对涉及旅游景区的食品安全事故进行调查处理。</w:t>
      </w:r>
    </w:p>
    <w:p w14:paraId="7259F92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8</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卫健委</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负责为指挥部办公室提供技术支持，参加指挥部办公室工作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参与事故调查</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组织事故流行病学调查、医疗救治、现场卫生学处置及有关技术调查，组织开展相关监测，分析监测数据</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提供相关标准解释</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组织开展相关检测和风险评估，提出评价结论。</w:t>
      </w:r>
    </w:p>
    <w:p w14:paraId="17928F8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eastAsia" w:ascii="Times New Roman" w:hAnsi="Times New Roman" w:eastAsia="仿宋_GB2312" w:cs="Times New Roman"/>
          <w:b w:val="0"/>
          <w:bCs w:val="0"/>
          <w:color w:val="000000"/>
          <w:sz w:val="28"/>
          <w:szCs w:val="28"/>
          <w:u w:val="none"/>
          <w:lang w:val="en-US" w:eastAsia="zh-CN"/>
        </w:rPr>
        <w:t>9</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应急管理局</w:t>
      </w: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负责在</w:t>
      </w:r>
      <w:r>
        <w:rPr>
          <w:rFonts w:hint="default" w:ascii="Times New Roman" w:hAnsi="Times New Roman" w:eastAsia="仿宋_GB2312" w:cs="Times New Roman"/>
          <w:b w:val="0"/>
          <w:bCs w:val="0"/>
          <w:color w:val="000000"/>
          <w:sz w:val="28"/>
          <w:szCs w:val="28"/>
          <w:u w:val="none"/>
        </w:rPr>
        <w:t>接到食品安全事故信息报告后</w:t>
      </w:r>
      <w:r>
        <w:rPr>
          <w:rFonts w:hint="eastAsia"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及时向</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委、</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政府报送，配合食品安全事故应急指挥部开展应急处置工作。</w:t>
      </w:r>
    </w:p>
    <w:p w14:paraId="432FF3D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eastAsia" w:ascii="Times New Roman" w:hAnsi="Times New Roman" w:eastAsia="仿宋_GB2312" w:cs="Times New Roman"/>
          <w:b w:val="0"/>
          <w:bCs w:val="0"/>
          <w:color w:val="000000"/>
          <w:sz w:val="28"/>
          <w:szCs w:val="28"/>
          <w:u w:val="none"/>
          <w:lang w:val="en-US" w:eastAsia="zh-CN"/>
        </w:rPr>
        <w:t>20</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市场监管局</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负责对食品生产加工环节、食品流通环节及餐饮服务环节食品安全事故中违法行为的调查处理</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并依法采取必要的应急处置措施，防止或者减轻社会危害</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负责食品包装材料、包装容器等食品相关产品、用于生产经营的设备工具、用于食品的洗涤剂和消毒剂造成的安全事故中违法行为的调查处理，并依法采取必要的应急处置措施</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防止或者减轻社会危害。</w:t>
      </w:r>
    </w:p>
    <w:p w14:paraId="703CA96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eastAsia"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负责指挥部办公室日常工作，指导、协调事故调查处置等工作。</w:t>
      </w:r>
    </w:p>
    <w:p w14:paraId="5F103D5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各部门按照</w:t>
      </w:r>
      <w:r>
        <w:rPr>
          <w:rFonts w:hint="default" w:ascii="Times New Roman" w:hAnsi="Times New Roman" w:eastAsia="仿宋_GB2312" w:cs="Times New Roman"/>
          <w:b w:val="0"/>
          <w:bCs w:val="0"/>
          <w:color w:val="000000"/>
          <w:sz w:val="28"/>
          <w:szCs w:val="28"/>
          <w:highlight w:val="none"/>
          <w:u w:val="none"/>
        </w:rPr>
        <w:t>法定</w:t>
      </w:r>
      <w:r>
        <w:rPr>
          <w:rFonts w:hint="default" w:ascii="Times New Roman" w:hAnsi="Times New Roman" w:eastAsia="仿宋_GB2312" w:cs="Times New Roman"/>
          <w:b w:val="0"/>
          <w:bCs w:val="0"/>
          <w:color w:val="000000"/>
          <w:sz w:val="28"/>
          <w:szCs w:val="28"/>
          <w:u w:val="none"/>
        </w:rPr>
        <w:t>职责实施食品安全事故应急处置，同时有责任配合和协助其他部门做好食品安全事故应急处置工作。</w:t>
      </w:r>
    </w:p>
    <w:p w14:paraId="678DA8D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各成员单位在指挥部统一领导下开展工作，积极参与应急救援工作。</w:t>
      </w:r>
    </w:p>
    <w:p w14:paraId="4663007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2.6 指挥部各工作组职责</w:t>
      </w:r>
    </w:p>
    <w:p w14:paraId="5AB9982D">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事故调查组</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食品药品安全委员会办公室牵头，会同</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市场监督管理局、卫生健康委员会、公安局及相关部门负责调查事故发生原因，评估事故影响，尽快查明致病原因，作出调查结论，提出事故防范意见</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对涉嫌犯罪的，由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公安局负责立案侦办，查清事实，依法追究刑事责任</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对监管部门及其他机关工作人员的失职、渎职等行为，</w:t>
      </w:r>
      <w:r>
        <w:rPr>
          <w:rFonts w:hint="default" w:ascii="Times New Roman" w:hAnsi="Times New Roman" w:eastAsia="仿宋_GB2312" w:cs="Times New Roman"/>
          <w:b w:val="0"/>
          <w:bCs w:val="0"/>
          <w:color w:val="000000"/>
          <w:sz w:val="28"/>
          <w:szCs w:val="28"/>
          <w:u w:val="none"/>
          <w:lang w:eastAsia="zh-CN"/>
        </w:rPr>
        <w:t>由</w:t>
      </w:r>
      <w:r>
        <w:rPr>
          <w:rFonts w:hint="default" w:ascii="Times New Roman" w:hAnsi="Times New Roman" w:eastAsia="仿宋_GB2312" w:cs="Times New Roman"/>
          <w:b w:val="0"/>
          <w:bCs w:val="0"/>
          <w:color w:val="000000"/>
          <w:sz w:val="28"/>
          <w:szCs w:val="28"/>
          <w:u w:val="none"/>
        </w:rPr>
        <w:t>纪委监委进行监察调查。</w:t>
      </w:r>
    </w:p>
    <w:p w14:paraId="2D3E2A5D">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危害控制组</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食品药品安全委员会办公室牵头，组织相关监管部门监督、指导事故发生地政府依法采取措施，防止危害蔓延扩大。</w:t>
      </w:r>
    </w:p>
    <w:p w14:paraId="54A6068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医疗救治组</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卫健委负责，结合事故调查组的调查情况，制定最佳救治方案，对健康受到危害的人员进行医疗救治。</w:t>
      </w:r>
    </w:p>
    <w:p w14:paraId="3063994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4</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检测评估组</w:t>
      </w:r>
      <w:r>
        <w:rPr>
          <w:rFonts w:hint="default" w:ascii="Times New Roman" w:hAnsi="Times New Roman" w:eastAsia="仿宋_GB2312" w:cs="Times New Roman"/>
          <w:b w:val="0"/>
          <w:bCs w:val="0"/>
          <w:color w:val="000000"/>
          <w:sz w:val="28"/>
          <w:szCs w:val="28"/>
          <w:u w:val="none"/>
          <w:lang w:eastAsia="zh-CN"/>
        </w:rPr>
        <w:t>：由旗</w:t>
      </w:r>
      <w:r>
        <w:rPr>
          <w:rFonts w:hint="default" w:ascii="Times New Roman" w:hAnsi="Times New Roman" w:eastAsia="仿宋_GB2312" w:cs="Times New Roman"/>
          <w:b w:val="0"/>
          <w:bCs w:val="0"/>
          <w:color w:val="000000"/>
          <w:sz w:val="28"/>
          <w:szCs w:val="28"/>
          <w:u w:val="none"/>
        </w:rPr>
        <w:t>卫健委牵头，提出检测方案和要求，组织实施相关检测，综合分析各方检测数据，查找事故原因和评估事故发展趋势，预测事故后果，为制定现场抢救方案和采取控制措施提供参考。检测评估结果要及时报告指挥部办公室。</w:t>
      </w:r>
    </w:p>
    <w:p w14:paraId="005309D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5</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维护稳定组</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公安局牵头，指导事故发生地公安机关</w:t>
      </w:r>
      <w:r>
        <w:rPr>
          <w:rFonts w:hint="default" w:ascii="Times New Roman" w:hAnsi="Times New Roman" w:eastAsia="仿宋_GB2312" w:cs="Times New Roman"/>
          <w:b w:val="0"/>
          <w:bCs w:val="0"/>
          <w:color w:val="000000"/>
          <w:sz w:val="28"/>
          <w:szCs w:val="28"/>
          <w:u w:val="none"/>
          <w:lang w:val="en-US" w:eastAsia="zh-CN"/>
        </w:rPr>
        <w:t>派出机构</w:t>
      </w:r>
      <w:r>
        <w:rPr>
          <w:rFonts w:hint="default" w:ascii="Times New Roman" w:hAnsi="Times New Roman" w:eastAsia="仿宋_GB2312" w:cs="Times New Roman"/>
          <w:b w:val="0"/>
          <w:bCs w:val="0"/>
          <w:color w:val="000000"/>
          <w:sz w:val="28"/>
          <w:szCs w:val="28"/>
          <w:u w:val="none"/>
        </w:rPr>
        <w:t>加强治安管理，积极化解因事故造成的矛盾纠纷，维护社会稳定。</w:t>
      </w:r>
    </w:p>
    <w:p w14:paraId="3A52145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6</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新闻宣传组</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委宣传部牵头，会同</w:t>
      </w:r>
      <w:r>
        <w:rPr>
          <w:rFonts w:hint="default" w:ascii="Times New Roman" w:hAnsi="Times New Roman" w:eastAsia="仿宋_GB2312" w:cs="Times New Roman"/>
          <w:b w:val="0"/>
          <w:bCs w:val="0"/>
          <w:color w:val="000000"/>
          <w:sz w:val="28"/>
          <w:szCs w:val="28"/>
          <w:u w:val="none"/>
          <w:lang w:eastAsia="zh-CN"/>
        </w:rPr>
        <w:t>新闻办</w:t>
      </w:r>
      <w:r>
        <w:rPr>
          <w:rFonts w:hint="default" w:ascii="Times New Roman" w:hAnsi="Times New Roman" w:eastAsia="仿宋_GB2312" w:cs="Times New Roman"/>
          <w:b w:val="0"/>
          <w:bCs w:val="0"/>
          <w:color w:val="000000"/>
          <w:sz w:val="28"/>
          <w:szCs w:val="28"/>
          <w:u w:val="none"/>
        </w:rPr>
        <w:t>、</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卫健委等部门组织事故处置宣传报道和舆论引导，并协调相关部门做好信息发布工作。</w:t>
      </w:r>
    </w:p>
    <w:p w14:paraId="4874A55A">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7</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专家组</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指挥部成立由有关方面专家组成的专家组，负责对事故进行分析评估，为应急响应的调整和解除以及应急处置工作提供决策建议，必要时参与应急处置。</w:t>
      </w:r>
    </w:p>
    <w:p w14:paraId="4CA96862">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如事故涉及较大范围的经济赔偿问题，可单设民事赔偿组，负责</w:t>
      </w:r>
      <w:r>
        <w:rPr>
          <w:rFonts w:hint="default" w:ascii="Times New Roman" w:hAnsi="Times New Roman" w:eastAsia="仿宋_GB2312" w:cs="Times New Roman"/>
          <w:b w:val="0"/>
          <w:bCs w:val="0"/>
          <w:color w:val="000000"/>
          <w:sz w:val="28"/>
          <w:szCs w:val="28"/>
          <w:u w:val="none"/>
          <w:lang w:val="en-US" w:eastAsia="zh-CN"/>
        </w:rPr>
        <w:t>协助</w:t>
      </w:r>
      <w:r>
        <w:rPr>
          <w:rFonts w:hint="default" w:ascii="Times New Roman" w:hAnsi="Times New Roman" w:eastAsia="仿宋_GB2312" w:cs="Times New Roman"/>
          <w:b w:val="0"/>
          <w:bCs w:val="0"/>
          <w:color w:val="000000"/>
          <w:sz w:val="28"/>
          <w:szCs w:val="28"/>
          <w:u w:val="none"/>
        </w:rPr>
        <w:t>做好相关善后工作。</w:t>
      </w:r>
    </w:p>
    <w:p w14:paraId="002842E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2.7 应急处置专业技术机构</w:t>
      </w:r>
    </w:p>
    <w:p w14:paraId="54C3306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医疗机构、疾病预防控制以及食品安全相关技术机构作为食品安全事故应急处置专业技术机构，应当在</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食品药品安全委员会办公室、卫生健康委员会及有关食品安全监管部门组织领导下开展应急处置相关工作。</w:t>
      </w:r>
    </w:p>
    <w:p w14:paraId="4571849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乡镇级人民政府参照</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级应急指挥机构运作模式，成立相应的应急处置指挥机构，统一领导、组织、指挥本行政区域的食品安全突发事件应对工作。对需要</w:t>
      </w:r>
      <w:r>
        <w:rPr>
          <w:rFonts w:hint="default" w:ascii="Times New Roman" w:hAnsi="Times New Roman" w:eastAsia="仿宋_GB2312" w:cs="Times New Roman"/>
          <w:b w:val="0"/>
          <w:bCs w:val="0"/>
          <w:color w:val="000000"/>
          <w:sz w:val="28"/>
          <w:szCs w:val="28"/>
          <w:u w:val="none"/>
          <w:lang w:val="en-US" w:eastAsia="zh-CN"/>
        </w:rPr>
        <w:t>旗</w:t>
      </w:r>
      <w:r>
        <w:rPr>
          <w:rFonts w:hint="default" w:ascii="Times New Roman" w:hAnsi="Times New Roman" w:eastAsia="仿宋_GB2312" w:cs="Times New Roman"/>
          <w:b w:val="0"/>
          <w:bCs w:val="0"/>
          <w:color w:val="000000"/>
          <w:sz w:val="28"/>
          <w:szCs w:val="28"/>
          <w:u w:val="none"/>
        </w:rPr>
        <w:t>级层面协调处置的跨乡镇行政区域的食品安全突发事件，由有关乡镇人民政府向</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人民政府提出请求，</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指挥部办公室按照</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人民政府指示具体组织协调。</w:t>
      </w:r>
    </w:p>
    <w:p w14:paraId="46A065F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color w:val="000000"/>
          <w:sz w:val="28"/>
          <w:szCs w:val="28"/>
          <w:u w:val="none"/>
        </w:rPr>
      </w:pPr>
      <w:r>
        <w:rPr>
          <w:rFonts w:hint="default" w:ascii="Times New Roman" w:hAnsi="Times New Roman" w:eastAsia="黑体" w:cs="Times New Roman"/>
          <w:b w:val="0"/>
          <w:bCs w:val="0"/>
          <w:color w:val="000000"/>
          <w:sz w:val="28"/>
          <w:szCs w:val="28"/>
          <w:u w:val="none"/>
        </w:rPr>
        <w:t>3 应急保障</w:t>
      </w:r>
    </w:p>
    <w:p w14:paraId="58B03D1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lang w:eastAsia="zh-CN"/>
        </w:rPr>
      </w:pPr>
      <w:r>
        <w:rPr>
          <w:rFonts w:hint="default" w:ascii="Times New Roman" w:hAnsi="Times New Roman" w:eastAsia="楷体_GB2312" w:cs="Times New Roman"/>
          <w:b w:val="0"/>
          <w:bCs w:val="0"/>
          <w:color w:val="000000"/>
          <w:kern w:val="0"/>
          <w:sz w:val="28"/>
          <w:szCs w:val="28"/>
          <w:u w:val="none"/>
          <w:shd w:val="clear" w:color="auto" w:fill="FFFFFF"/>
        </w:rPr>
        <w:t>3.1 信息保障</w:t>
      </w:r>
    </w:p>
    <w:p w14:paraId="19CB3B9A">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highlight w:val="none"/>
          <w:u w:val="none"/>
          <w:lang w:eastAsia="zh-CN"/>
        </w:rPr>
        <w:t>旗</w:t>
      </w:r>
      <w:r>
        <w:rPr>
          <w:rFonts w:hint="default" w:ascii="Times New Roman" w:hAnsi="Times New Roman" w:eastAsia="仿宋_GB2312" w:cs="Times New Roman"/>
          <w:b w:val="0"/>
          <w:bCs w:val="0"/>
          <w:color w:val="000000"/>
          <w:sz w:val="28"/>
          <w:szCs w:val="28"/>
          <w:highlight w:val="none"/>
          <w:u w:val="none"/>
        </w:rPr>
        <w:t>食品药品安全委员会办公室会同相关监管部门建立全</w:t>
      </w:r>
      <w:r>
        <w:rPr>
          <w:rFonts w:hint="default" w:ascii="Times New Roman" w:hAnsi="Times New Roman" w:eastAsia="仿宋_GB2312" w:cs="Times New Roman"/>
          <w:b w:val="0"/>
          <w:bCs w:val="0"/>
          <w:color w:val="000000"/>
          <w:sz w:val="28"/>
          <w:szCs w:val="28"/>
          <w:highlight w:val="none"/>
          <w:u w:val="none"/>
          <w:lang w:eastAsia="zh-CN"/>
        </w:rPr>
        <w:t>旗</w:t>
      </w:r>
      <w:r>
        <w:rPr>
          <w:rFonts w:hint="default" w:ascii="Times New Roman" w:hAnsi="Times New Roman" w:eastAsia="仿宋_GB2312" w:cs="Times New Roman"/>
          <w:b w:val="0"/>
          <w:bCs w:val="0"/>
          <w:color w:val="000000"/>
          <w:sz w:val="28"/>
          <w:szCs w:val="28"/>
          <w:highlight w:val="none"/>
          <w:u w:val="none"/>
        </w:rPr>
        <w:t>统一的食品安全信息和指挥</w:t>
      </w:r>
      <w:r>
        <w:rPr>
          <w:rFonts w:hint="eastAsia" w:ascii="Times New Roman" w:hAnsi="Times New Roman" w:eastAsia="仿宋_GB2312" w:cs="Times New Roman"/>
          <w:b w:val="0"/>
          <w:bCs w:val="0"/>
          <w:color w:val="000000"/>
          <w:sz w:val="28"/>
          <w:szCs w:val="28"/>
          <w:highlight w:val="none"/>
          <w:u w:val="none"/>
          <w:lang w:eastAsia="zh-CN"/>
        </w:rPr>
        <w:t>体系</w:t>
      </w:r>
      <w:r>
        <w:rPr>
          <w:rFonts w:hint="default" w:ascii="Times New Roman" w:hAnsi="Times New Roman" w:eastAsia="仿宋_GB2312" w:cs="Times New Roman"/>
          <w:b w:val="0"/>
          <w:bCs w:val="0"/>
          <w:color w:val="000000"/>
          <w:sz w:val="28"/>
          <w:szCs w:val="28"/>
          <w:highlight w:val="none"/>
          <w:u w:val="none"/>
          <w:lang w:eastAsia="zh-CN"/>
        </w:rPr>
        <w:t>，</w:t>
      </w:r>
      <w:r>
        <w:rPr>
          <w:rFonts w:hint="default" w:ascii="Times New Roman" w:hAnsi="Times New Roman" w:eastAsia="仿宋_GB2312" w:cs="Times New Roman"/>
          <w:b w:val="0"/>
          <w:bCs w:val="0"/>
          <w:color w:val="000000"/>
          <w:sz w:val="28"/>
          <w:szCs w:val="28"/>
          <w:u w:val="none"/>
        </w:rPr>
        <w:t>包含食品安全监测、事故报告与通报、食品安全事故隐患预警等内容</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建立健全医疗救治信息网络，实现信息共享。</w:t>
      </w:r>
    </w:p>
    <w:p w14:paraId="55E3F612">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highlight w:val="none"/>
          <w:u w:val="none"/>
        </w:rPr>
        <w:t>有关部门应当设立信息报告和举报电话，</w:t>
      </w:r>
      <w:r>
        <w:rPr>
          <w:rFonts w:hint="default" w:ascii="Times New Roman" w:hAnsi="Times New Roman" w:eastAsia="仿宋_GB2312" w:cs="Times New Roman"/>
          <w:b w:val="0"/>
          <w:bCs w:val="0"/>
          <w:color w:val="000000"/>
          <w:sz w:val="28"/>
          <w:szCs w:val="28"/>
          <w:u w:val="none"/>
        </w:rPr>
        <w:t>畅通信息报告渠道，确保食品安全事故的及时报告与相关信息的及时收集。</w:t>
      </w:r>
    </w:p>
    <w:p w14:paraId="78CF156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3.2 医疗保障</w:t>
      </w:r>
    </w:p>
    <w:p w14:paraId="4CF6A3A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卫生健康部门要建立功能完善、反应灵敏、运转协调、持续发展的医疗救治体系</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在食品安全事故造成人员伤害时迅速开展医疗救治。</w:t>
      </w:r>
    </w:p>
    <w:p w14:paraId="48A76D02">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3.3 人员及技术保障</w:t>
      </w:r>
    </w:p>
    <w:p w14:paraId="2C5E1D3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应急处置专业技术机构要结合本机构职责开展专业技术人员食品安全事故应急处置能力培训，加强应急处置力量建设，提高快速应对能力和技术水平</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健全专家队伍，为事故核实、级别核定、事故隐患预警及应急响应等相关技术工作提供人才保障。</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直有关部门要加强食品安全事故监测、预警、预防和应急处置等技术研发，促进地区间交流与合作，为食品安全事故应急处置提供技术保障。</w:t>
      </w:r>
    </w:p>
    <w:p w14:paraId="5C8489B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3.4</w:t>
      </w:r>
      <w:r>
        <w:rPr>
          <w:rFonts w:hint="eastAsia" w:ascii="Times New Roman" w:hAnsi="Times New Roman" w:eastAsia="楷体_GB2312" w:cs="Times New Roman"/>
          <w:b w:val="0"/>
          <w:bCs w:val="0"/>
          <w:color w:val="000000"/>
          <w:kern w:val="0"/>
          <w:sz w:val="28"/>
          <w:szCs w:val="28"/>
          <w:u w:val="none"/>
          <w:shd w:val="clear" w:color="auto" w:fill="FFFFFF"/>
          <w:lang w:val="en-US" w:eastAsia="zh-CN"/>
        </w:rPr>
        <w:t xml:space="preserve"> </w:t>
      </w:r>
      <w:r>
        <w:rPr>
          <w:rFonts w:hint="default" w:ascii="Times New Roman" w:hAnsi="Times New Roman" w:eastAsia="楷体_GB2312" w:cs="Times New Roman"/>
          <w:b w:val="0"/>
          <w:bCs w:val="0"/>
          <w:color w:val="000000"/>
          <w:kern w:val="0"/>
          <w:sz w:val="28"/>
          <w:szCs w:val="28"/>
          <w:u w:val="none"/>
          <w:shd w:val="clear" w:color="auto" w:fill="FFFFFF"/>
        </w:rPr>
        <w:t>物资与经费保障</w:t>
      </w:r>
    </w:p>
    <w:p w14:paraId="1554694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食品安全事故应急处置所需设施、设备和物资的储备与调用应当得到保障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使用储备物资后须及时补充</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食品安全事故应急处置、产品抽样及检验等所需经费应当列入年度财政预算，保障应急资金。</w:t>
      </w:r>
    </w:p>
    <w:p w14:paraId="297B931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3.5 社会动员保障</w:t>
      </w:r>
    </w:p>
    <w:p w14:paraId="2473FCB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根据食品安全事故应急处置的需要，动员和组织社会力量协助参与应急处置，必要时依法调用企业及个人物资。在动用社会力量或企业、个人物资进行应急处置后，应当及时归还或给予补偿。</w:t>
      </w:r>
    </w:p>
    <w:p w14:paraId="0531D01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3.6 宣教培训</w:t>
      </w:r>
    </w:p>
    <w:p w14:paraId="0E053D5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直有关部门应当加强对食品安全专业人员、食品生产经营者及广大消费者的食品安全知识宣传、教育与培训，促进专业人员掌握食品安全相关工作技能，增强食品生产经营者的责任意识，</w:t>
      </w:r>
      <w:r>
        <w:rPr>
          <w:rFonts w:hint="eastAsia" w:ascii="Times New Roman" w:hAnsi="Times New Roman" w:eastAsia="仿宋_GB2312" w:cs="Times New Roman"/>
          <w:b w:val="0"/>
          <w:bCs w:val="0"/>
          <w:color w:val="000000"/>
          <w:sz w:val="28"/>
          <w:szCs w:val="28"/>
          <w:u w:val="none"/>
          <w:lang w:eastAsia="zh-CN"/>
        </w:rPr>
        <w:t>增强</w:t>
      </w:r>
      <w:r>
        <w:rPr>
          <w:rFonts w:hint="default" w:ascii="Times New Roman" w:hAnsi="Times New Roman" w:eastAsia="仿宋_GB2312" w:cs="Times New Roman"/>
          <w:b w:val="0"/>
          <w:bCs w:val="0"/>
          <w:color w:val="000000"/>
          <w:sz w:val="28"/>
          <w:szCs w:val="28"/>
          <w:u w:val="none"/>
        </w:rPr>
        <w:t>消费者的风险意识和防范能力。</w:t>
      </w:r>
    </w:p>
    <w:p w14:paraId="24C4BEC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color w:val="000000"/>
          <w:sz w:val="28"/>
          <w:szCs w:val="28"/>
          <w:u w:val="none"/>
        </w:rPr>
      </w:pPr>
      <w:r>
        <w:rPr>
          <w:rFonts w:hint="default" w:ascii="Times New Roman" w:hAnsi="Times New Roman" w:eastAsia="黑体" w:cs="Times New Roman"/>
          <w:b w:val="0"/>
          <w:bCs w:val="0"/>
          <w:color w:val="000000"/>
          <w:sz w:val="28"/>
          <w:szCs w:val="28"/>
          <w:u w:val="none"/>
        </w:rPr>
        <w:t>4 监测预警、报告与评估</w:t>
      </w:r>
    </w:p>
    <w:p w14:paraId="46B8382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4.1 监测预警</w:t>
      </w:r>
    </w:p>
    <w:p w14:paraId="095A0D3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食品药品安全委员会办公室会同</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卫健委等有关部门，根据全</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食品安全风险监测工作需要，在综合利用现有监测机构能力的基础上，制定和实施加强</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食品安全风险监测能力建设规划，建立覆盖全</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的食源性疾病、食品污染和食品中有害因素监测体系。要根据食品安全风险监测结果，对食品安全状况进行综合分析，对可能具有较高程度安全风险的食品，提出并公布食品安全风险警示信息。</w:t>
      </w:r>
    </w:p>
    <w:p w14:paraId="1556562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有关监管部门发现食品安全隐患或问题，应及时报告</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食品药品安全委员会办公室和有关部门</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依法及时采取有效的控制措施。</w:t>
      </w:r>
    </w:p>
    <w:p w14:paraId="3CBB4A8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4.2 事故报告</w:t>
      </w:r>
    </w:p>
    <w:p w14:paraId="529F0BF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4.2.1 事故信息来源</w:t>
      </w:r>
    </w:p>
    <w:p w14:paraId="1A98EAF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食品安全事故发生单位与引发食品安全事故的食品生产经营单位报告的信息。</w:t>
      </w:r>
    </w:p>
    <w:p w14:paraId="33AE51D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医疗机构报告的信息。</w:t>
      </w:r>
    </w:p>
    <w:p w14:paraId="01C1667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食品安全相关技术机构监测和分析结果。</w:t>
      </w:r>
    </w:p>
    <w:p w14:paraId="45A39F4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4</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经核实的公众举报信息。</w:t>
      </w:r>
    </w:p>
    <w:p w14:paraId="5137EF22">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5</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经核实的媒体披露与报道信息。</w:t>
      </w:r>
    </w:p>
    <w:p w14:paraId="14789E3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6</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国家、自治区</w:t>
      </w:r>
      <w:r>
        <w:rPr>
          <w:rFonts w:hint="default" w:ascii="Times New Roman" w:hAnsi="Times New Roman" w:eastAsia="仿宋_GB2312" w:cs="Times New Roman"/>
          <w:b w:val="0"/>
          <w:bCs w:val="0"/>
          <w:color w:val="000000"/>
          <w:sz w:val="28"/>
          <w:szCs w:val="28"/>
          <w:u w:val="none"/>
          <w:lang w:eastAsia="zh-CN"/>
        </w:rPr>
        <w:t>、市</w:t>
      </w:r>
      <w:r>
        <w:rPr>
          <w:rFonts w:hint="default" w:ascii="Times New Roman" w:hAnsi="Times New Roman" w:eastAsia="仿宋_GB2312" w:cs="Times New Roman"/>
          <w:b w:val="0"/>
          <w:bCs w:val="0"/>
          <w:color w:val="000000"/>
          <w:sz w:val="28"/>
          <w:szCs w:val="28"/>
          <w:u w:val="none"/>
        </w:rPr>
        <w:t>和其他盟市</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旗县区</w:t>
      </w:r>
      <w:r>
        <w:rPr>
          <w:rFonts w:hint="default" w:ascii="Times New Roman" w:hAnsi="Times New Roman" w:eastAsia="仿宋_GB2312" w:cs="Times New Roman"/>
          <w:b w:val="0"/>
          <w:bCs w:val="0"/>
          <w:color w:val="000000"/>
          <w:sz w:val="28"/>
          <w:szCs w:val="28"/>
          <w:u w:val="none"/>
        </w:rPr>
        <w:t>通报我</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的相关信息。</w:t>
      </w:r>
    </w:p>
    <w:p w14:paraId="3F7213C0">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7</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其他渠道获知的信息。</w:t>
      </w:r>
    </w:p>
    <w:p w14:paraId="5B7DA6D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4.2.2</w:t>
      </w:r>
      <w:r>
        <w:rPr>
          <w:rFonts w:hint="eastAsia" w:ascii="Times New Roman" w:hAnsi="Times New Roman" w:eastAsia="仿宋_GB2312" w:cs="Times New Roman"/>
          <w:b w:val="0"/>
          <w:bCs w:val="0"/>
          <w:color w:val="000000"/>
          <w:sz w:val="28"/>
          <w:szCs w:val="28"/>
          <w:u w:val="none"/>
          <w:lang w:val="en-US" w:eastAsia="zh-CN"/>
        </w:rPr>
        <w:t xml:space="preserve"> </w:t>
      </w:r>
      <w:r>
        <w:rPr>
          <w:rFonts w:hint="default" w:ascii="Times New Roman" w:hAnsi="Times New Roman" w:eastAsia="仿宋_GB2312" w:cs="Times New Roman"/>
          <w:b w:val="0"/>
          <w:bCs w:val="0"/>
          <w:color w:val="000000"/>
          <w:sz w:val="28"/>
          <w:szCs w:val="28"/>
          <w:u w:val="none"/>
        </w:rPr>
        <w:t>报告主体和时限</w:t>
      </w:r>
    </w:p>
    <w:p w14:paraId="0EAEDA4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食品生产经营者发现其生产经营的食品造成或者可能造成公众健康损害的情况和信息</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应当在2小时内向卫生健康部门、食品药品安全委员会办公室和负责本单位食品安全监管工作的有关部门报告。</w:t>
      </w:r>
    </w:p>
    <w:p w14:paraId="114AB59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发生可能与食品有关的急性群体性健康损害的单位，应当在2小时内向旗卫生健康部门、食品药品安全委员会办公室和有关监管部门报告。</w:t>
      </w:r>
    </w:p>
    <w:p w14:paraId="54D5E77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接收食品安全事故病人治疗的单位、应当按照国家和自治区的有关规定及时向旗卫生健康部门、食品药品安全委员</w:t>
      </w:r>
      <w:r>
        <w:rPr>
          <w:rFonts w:hint="default" w:ascii="Times New Roman" w:hAnsi="Times New Roman" w:eastAsia="仿宋_GB2312" w:cs="Times New Roman"/>
          <w:b w:val="0"/>
          <w:bCs w:val="0"/>
          <w:color w:val="000000"/>
          <w:sz w:val="28"/>
          <w:szCs w:val="28"/>
          <w:u w:val="none"/>
          <w:lang w:eastAsia="zh-CN"/>
        </w:rPr>
        <w:t>会</w:t>
      </w:r>
      <w:r>
        <w:rPr>
          <w:rFonts w:hint="default" w:ascii="Times New Roman" w:hAnsi="Times New Roman" w:eastAsia="仿宋_GB2312" w:cs="Times New Roman"/>
          <w:b w:val="0"/>
          <w:bCs w:val="0"/>
          <w:color w:val="000000"/>
          <w:sz w:val="28"/>
          <w:szCs w:val="28"/>
          <w:u w:val="none"/>
        </w:rPr>
        <w:t>办公室和有关监管部门报告。</w:t>
      </w:r>
    </w:p>
    <w:p w14:paraId="64382AAA">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4</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食品安全相关技术机构、有关社会团体及个人发现食品安全事故相关情况，应当及时向旗卫生健康部门、食品药品安全委员会办公室和有关监管部门报告或举报。</w:t>
      </w:r>
    </w:p>
    <w:p w14:paraId="35D81C8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5</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有关监管部门发现食品安全事故或接到食品安全事故报告或举报，应当立即通报</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食品药品安全委员会办公室、卫生健康部门及其他有关部门，经初步核实后，要继续收集相关信息，并及时将有关情况进一步向</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食品药品安全委员会办公室、卫健部门及其他有关监管部门通报。</w:t>
      </w:r>
    </w:p>
    <w:p w14:paraId="48408BC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6</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经初步核实为食品安全事故且需要启动应急响应的，</w:t>
      </w:r>
      <w:r>
        <w:rPr>
          <w:rFonts w:hint="default" w:ascii="Times New Roman" w:hAnsi="Times New Roman" w:eastAsia="仿宋_GB2312" w:cs="Times New Roman"/>
          <w:b w:val="0"/>
          <w:bCs w:val="0"/>
          <w:color w:val="000000"/>
          <w:sz w:val="28"/>
          <w:szCs w:val="28"/>
          <w:u w:val="none"/>
          <w:lang w:val="en-US" w:eastAsia="zh-CN"/>
        </w:rPr>
        <w:t>旗</w:t>
      </w:r>
      <w:r>
        <w:rPr>
          <w:rFonts w:hint="default" w:ascii="Times New Roman" w:hAnsi="Times New Roman" w:eastAsia="仿宋_GB2312" w:cs="Times New Roman"/>
          <w:b w:val="0"/>
          <w:bCs w:val="0"/>
          <w:color w:val="000000"/>
          <w:sz w:val="28"/>
          <w:szCs w:val="28"/>
          <w:u w:val="none"/>
        </w:rPr>
        <w:t>食品药品安全委员会办公室应当按规定向</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人民政府及上级食品药品安全委员会办公室报告</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必要时，可以越级向有关部门报告。</w:t>
      </w:r>
    </w:p>
    <w:p w14:paraId="64E2B93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卫生健康部门在接到食品安全事故报告时，应及时将相关信息报告</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人民政府和</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旗</w:t>
      </w:r>
      <w:r>
        <w:rPr>
          <w:rFonts w:hint="default" w:ascii="Times New Roman" w:hAnsi="Times New Roman" w:eastAsia="仿宋_GB2312" w:cs="Times New Roman"/>
          <w:b w:val="0"/>
          <w:bCs w:val="0"/>
          <w:color w:val="000000"/>
          <w:sz w:val="28"/>
          <w:szCs w:val="28"/>
          <w:u w:val="none"/>
        </w:rPr>
        <w:t>食品药品安全委员会办公室应及时报告</w:t>
      </w:r>
      <w:r>
        <w:rPr>
          <w:rFonts w:hint="default" w:ascii="Times New Roman" w:hAnsi="Times New Roman" w:eastAsia="仿宋_GB2312" w:cs="Times New Roman"/>
          <w:b w:val="0"/>
          <w:bCs w:val="0"/>
          <w:color w:val="000000"/>
          <w:sz w:val="28"/>
          <w:szCs w:val="28"/>
          <w:u w:val="none"/>
          <w:lang w:val="en-US" w:eastAsia="zh-CN"/>
        </w:rPr>
        <w:t>市</w:t>
      </w:r>
      <w:r>
        <w:rPr>
          <w:rFonts w:hint="default" w:ascii="Times New Roman" w:hAnsi="Times New Roman" w:eastAsia="仿宋_GB2312" w:cs="Times New Roman"/>
          <w:b w:val="0"/>
          <w:bCs w:val="0"/>
          <w:color w:val="000000"/>
          <w:sz w:val="28"/>
          <w:szCs w:val="28"/>
          <w:u w:val="none"/>
        </w:rPr>
        <w:t>食品药品安全委员会办公室。</w:t>
      </w:r>
    </w:p>
    <w:p w14:paraId="6EB11F80">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4.2.3 报告内容</w:t>
      </w:r>
    </w:p>
    <w:p w14:paraId="033164F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食品生产经营者，医疗、技术机构和社会团体，个人向食品药品安全委员会办公室和有关监管部门报告疑似食品安全事故信息时，应当包括事故发生时间、地点和人数等基本情况。</w:t>
      </w:r>
    </w:p>
    <w:p w14:paraId="63C78EC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有关监管部门报告食品安全事故信息时，应当包括事故发生单位、时间、地点、危害程度、伤亡人数、事故报告单位信息</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含报告时间、报告单位联系人员及联系方式</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、已采取措施、事故简要经过等内容，并随时通报或补报工作进展情况。</w:t>
      </w:r>
    </w:p>
    <w:p w14:paraId="29C1A8D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4.3 事故评估</w:t>
      </w:r>
    </w:p>
    <w:p w14:paraId="6DBEF50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4.3.1</w:t>
      </w:r>
      <w:r>
        <w:rPr>
          <w:rFonts w:hint="default" w:ascii="Times New Roman" w:hAnsi="Times New Roman" w:eastAsia="仿宋_GB2312" w:cs="Times New Roman"/>
          <w:b w:val="0"/>
          <w:bCs w:val="0"/>
          <w:color w:val="000000"/>
          <w:sz w:val="28"/>
          <w:szCs w:val="28"/>
          <w:u w:val="none"/>
          <w:lang w:val="en-US" w:eastAsia="zh-CN"/>
        </w:rPr>
        <w:t xml:space="preserve"> </w:t>
      </w:r>
      <w:r>
        <w:rPr>
          <w:rFonts w:hint="default" w:ascii="Times New Roman" w:hAnsi="Times New Roman" w:eastAsia="仿宋_GB2312" w:cs="Times New Roman"/>
          <w:b w:val="0"/>
          <w:bCs w:val="0"/>
          <w:color w:val="000000"/>
          <w:sz w:val="28"/>
          <w:szCs w:val="28"/>
          <w:u w:val="none"/>
        </w:rPr>
        <w:t>有关监管部门应当按有关规定及时向食品药品安全委员会办公室提供相关信息和资料，由食品药品安全委员会办公室统一组织协调开展食品安全事故评估。</w:t>
      </w:r>
    </w:p>
    <w:p w14:paraId="4ADCCA4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4.3.2 食品安全事故评估是为核定食品安全事故级别和确定应采取的措施而进行的评估。评估内容包括</w:t>
      </w:r>
    </w:p>
    <w:p w14:paraId="158EB00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污染食品可能导致的健康损害及所涉及的范围，是否已造成健康损害后果及严重程度。</w:t>
      </w:r>
    </w:p>
    <w:p w14:paraId="2C94FFBA">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事故的影响范围及严重程度。</w:t>
      </w:r>
    </w:p>
    <w:p w14:paraId="2071CF7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事故发展蔓延趋势。</w:t>
      </w:r>
    </w:p>
    <w:p w14:paraId="762E4D3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color w:val="000000"/>
          <w:sz w:val="28"/>
          <w:szCs w:val="28"/>
          <w:u w:val="none"/>
        </w:rPr>
      </w:pPr>
      <w:r>
        <w:rPr>
          <w:rFonts w:hint="default" w:ascii="Times New Roman" w:hAnsi="Times New Roman" w:eastAsia="黑体" w:cs="Times New Roman"/>
          <w:b w:val="0"/>
          <w:bCs w:val="0"/>
          <w:color w:val="000000"/>
          <w:sz w:val="28"/>
          <w:szCs w:val="28"/>
          <w:u w:val="none"/>
        </w:rPr>
        <w:t>5 应急响应</w:t>
      </w:r>
    </w:p>
    <w:p w14:paraId="4FE1F6D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5.1 分级响应</w:t>
      </w:r>
    </w:p>
    <w:p w14:paraId="1031B62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根据食品安全事故分级情况，食品安全事故应急响应分为</w:t>
      </w:r>
      <w:r>
        <w:rPr>
          <w:rFonts w:hint="default" w:ascii="Times New Roman" w:hAnsi="Times New Roman" w:eastAsia="文泉驿微米黑" w:cs="Times New Roman"/>
          <w:b w:val="0"/>
          <w:bCs w:val="0"/>
          <w:color w:val="000000"/>
          <w:sz w:val="28"/>
          <w:szCs w:val="28"/>
          <w:u w:val="none"/>
        </w:rPr>
        <w:t>Ⅰ</w:t>
      </w:r>
      <w:r>
        <w:rPr>
          <w:rFonts w:hint="default" w:ascii="Times New Roman" w:hAnsi="Times New Roman" w:eastAsia="仿宋_GB2312" w:cs="Times New Roman"/>
          <w:b w:val="0"/>
          <w:bCs w:val="0"/>
          <w:color w:val="000000"/>
          <w:sz w:val="28"/>
          <w:szCs w:val="28"/>
          <w:u w:val="none"/>
        </w:rPr>
        <w:t>级、</w:t>
      </w:r>
      <w:r>
        <w:rPr>
          <w:rFonts w:hint="default" w:ascii="Times New Roman" w:hAnsi="Times New Roman" w:eastAsia="文泉驿微米黑" w:cs="Times New Roman"/>
          <w:b w:val="0"/>
          <w:bCs w:val="0"/>
          <w:color w:val="000000"/>
          <w:sz w:val="28"/>
          <w:szCs w:val="28"/>
          <w:u w:val="none"/>
        </w:rPr>
        <w:t>Ⅱ</w:t>
      </w:r>
      <w:r>
        <w:rPr>
          <w:rFonts w:hint="default" w:ascii="Times New Roman" w:hAnsi="Times New Roman" w:eastAsia="仿宋_GB2312" w:cs="Times New Roman"/>
          <w:b w:val="0"/>
          <w:bCs w:val="0"/>
          <w:color w:val="000000"/>
          <w:sz w:val="28"/>
          <w:szCs w:val="28"/>
          <w:u w:val="none"/>
        </w:rPr>
        <w:t>级、Ⅲ级和</w:t>
      </w: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级响应。核定为</w:t>
      </w:r>
      <w:r>
        <w:rPr>
          <w:rFonts w:hint="default" w:ascii="Times New Roman" w:hAnsi="Times New Roman" w:eastAsia="文泉驿微米黑" w:cs="Times New Roman"/>
          <w:b w:val="0"/>
          <w:bCs w:val="0"/>
          <w:color w:val="000000"/>
          <w:sz w:val="28"/>
          <w:szCs w:val="28"/>
          <w:u w:val="none"/>
        </w:rPr>
        <w:t>Ⅰ</w:t>
      </w:r>
      <w:r>
        <w:rPr>
          <w:rFonts w:hint="default" w:ascii="Times New Roman" w:hAnsi="Times New Roman" w:eastAsia="仿宋_GB2312" w:cs="Times New Roman"/>
          <w:b w:val="0"/>
          <w:bCs w:val="0"/>
          <w:color w:val="000000"/>
          <w:sz w:val="28"/>
          <w:szCs w:val="28"/>
          <w:u w:val="none"/>
        </w:rPr>
        <w:t>级食品安全事故</w:t>
      </w:r>
      <w:r>
        <w:rPr>
          <w:rFonts w:hint="default" w:ascii="Times New Roman" w:hAnsi="Times New Roman" w:eastAsia="仿宋_GB2312" w:cs="Times New Roman"/>
          <w:b w:val="0"/>
          <w:bCs w:val="0"/>
          <w:color w:val="000000"/>
          <w:sz w:val="28"/>
          <w:szCs w:val="28"/>
          <w:u w:val="none"/>
          <w:lang w:eastAsia="zh-CN"/>
        </w:rPr>
        <w:t>的</w:t>
      </w:r>
      <w:r>
        <w:rPr>
          <w:rFonts w:hint="default" w:ascii="Times New Roman" w:hAnsi="Times New Roman" w:eastAsia="仿宋_GB2312" w:cs="Times New Roman"/>
          <w:b w:val="0"/>
          <w:bCs w:val="0"/>
          <w:color w:val="000000"/>
          <w:sz w:val="28"/>
          <w:szCs w:val="28"/>
          <w:u w:val="none"/>
        </w:rPr>
        <w:t>，报请国务院食品安全委员会确认后，由国务院决定启动相应响应机制。核定为Ⅱ级食品安全事故</w:t>
      </w:r>
      <w:r>
        <w:rPr>
          <w:rFonts w:hint="default" w:ascii="Times New Roman" w:hAnsi="Times New Roman" w:eastAsia="仿宋_GB2312" w:cs="Times New Roman"/>
          <w:b w:val="0"/>
          <w:bCs w:val="0"/>
          <w:color w:val="000000"/>
          <w:sz w:val="28"/>
          <w:szCs w:val="28"/>
          <w:u w:val="none"/>
          <w:lang w:eastAsia="zh-CN"/>
        </w:rPr>
        <w:t>的，通过</w:t>
      </w:r>
      <w:r>
        <w:rPr>
          <w:rFonts w:hint="default" w:ascii="Times New Roman" w:hAnsi="Times New Roman" w:eastAsia="仿宋_GB2312" w:cs="Times New Roman"/>
          <w:b w:val="0"/>
          <w:bCs w:val="0"/>
          <w:color w:val="000000"/>
          <w:sz w:val="28"/>
          <w:szCs w:val="28"/>
          <w:u w:val="none"/>
        </w:rPr>
        <w:t>自治区食品安全委员会报请自治区人民政府，由自治区人民政府启动相应级别响应机制。核定为Ⅲ级食品安全事故的，</w:t>
      </w:r>
      <w:r>
        <w:rPr>
          <w:rFonts w:hint="default" w:ascii="Times New Roman" w:hAnsi="Times New Roman" w:eastAsia="仿宋_GB2312" w:cs="Times New Roman"/>
          <w:b w:val="0"/>
          <w:bCs w:val="0"/>
          <w:color w:val="000000"/>
          <w:sz w:val="28"/>
          <w:szCs w:val="28"/>
          <w:highlight w:val="none"/>
          <w:u w:val="none"/>
          <w:lang w:eastAsia="zh-CN"/>
        </w:rPr>
        <w:t>通过旗</w:t>
      </w:r>
      <w:r>
        <w:rPr>
          <w:rFonts w:hint="default" w:ascii="Times New Roman" w:hAnsi="Times New Roman" w:eastAsia="仿宋_GB2312" w:cs="Times New Roman"/>
          <w:b w:val="0"/>
          <w:bCs w:val="0"/>
          <w:color w:val="000000"/>
          <w:sz w:val="28"/>
          <w:szCs w:val="28"/>
          <w:highlight w:val="none"/>
          <w:u w:val="none"/>
        </w:rPr>
        <w:t>食品安全委员会报请</w:t>
      </w:r>
      <w:r>
        <w:rPr>
          <w:rFonts w:hint="default" w:ascii="Times New Roman" w:hAnsi="Times New Roman" w:eastAsia="仿宋_GB2312" w:cs="Times New Roman"/>
          <w:b w:val="0"/>
          <w:bCs w:val="0"/>
          <w:color w:val="000000"/>
          <w:sz w:val="28"/>
          <w:szCs w:val="28"/>
          <w:highlight w:val="none"/>
          <w:u w:val="none"/>
          <w:lang w:eastAsia="zh-CN"/>
        </w:rPr>
        <w:t>市</w:t>
      </w:r>
      <w:r>
        <w:rPr>
          <w:rFonts w:hint="default" w:ascii="Times New Roman" w:hAnsi="Times New Roman" w:eastAsia="仿宋_GB2312" w:cs="Times New Roman"/>
          <w:b w:val="0"/>
          <w:bCs w:val="0"/>
          <w:color w:val="000000"/>
          <w:sz w:val="28"/>
          <w:szCs w:val="28"/>
          <w:highlight w:val="none"/>
          <w:u w:val="none"/>
        </w:rPr>
        <w:t>人民政府，由市人民政府启动Ⅲ级响应，成立赤峰市食品安全事故应急指挥部</w:t>
      </w:r>
      <w:r>
        <w:rPr>
          <w:rFonts w:hint="default" w:ascii="Times New Roman" w:hAnsi="Times New Roman" w:eastAsia="仿宋_GB2312" w:cs="Times New Roman"/>
          <w:b w:val="0"/>
          <w:bCs w:val="0"/>
          <w:color w:val="000000"/>
          <w:sz w:val="28"/>
          <w:szCs w:val="28"/>
          <w:u w:val="none"/>
        </w:rPr>
        <w:t>，组织开展应急处置工作。</w:t>
      </w: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级事故发生后，</w:t>
      </w:r>
      <w:r>
        <w:rPr>
          <w:rFonts w:hint="default" w:ascii="Times New Roman" w:hAnsi="Times New Roman" w:eastAsia="仿宋_GB2312" w:cs="Times New Roman"/>
          <w:b w:val="0"/>
          <w:bCs w:val="0"/>
          <w:color w:val="000000"/>
          <w:sz w:val="28"/>
          <w:szCs w:val="28"/>
          <w:u w:val="none"/>
          <w:lang w:eastAsia="zh-CN"/>
        </w:rPr>
        <w:t>由</w:t>
      </w:r>
      <w:r>
        <w:rPr>
          <w:rFonts w:hint="default" w:ascii="Times New Roman" w:hAnsi="Times New Roman" w:eastAsia="仿宋_GB2312" w:cs="Times New Roman"/>
          <w:b w:val="0"/>
          <w:bCs w:val="0"/>
          <w:color w:val="000000"/>
          <w:sz w:val="28"/>
          <w:szCs w:val="28"/>
          <w:u w:val="none"/>
        </w:rPr>
        <w:t>旗人民政府立即组织先期处置，当发生30人以上食物中毒或在必要时，启动</w:t>
      </w: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级响应进行处置。必要时</w:t>
      </w:r>
      <w:r>
        <w:rPr>
          <w:rFonts w:hint="default" w:ascii="Times New Roman" w:hAnsi="Times New Roman" w:eastAsia="仿宋_GB2312" w:cs="Times New Roman"/>
          <w:b w:val="0"/>
          <w:bCs w:val="0"/>
          <w:color w:val="000000"/>
          <w:sz w:val="28"/>
          <w:szCs w:val="28"/>
          <w:u w:val="none"/>
          <w:lang w:val="en-US" w:eastAsia="zh-CN"/>
        </w:rPr>
        <w:t>向</w:t>
      </w:r>
      <w:r>
        <w:rPr>
          <w:rFonts w:hint="default" w:ascii="Times New Roman" w:hAnsi="Times New Roman" w:eastAsia="仿宋_GB2312" w:cs="Times New Roman"/>
          <w:b w:val="0"/>
          <w:bCs w:val="0"/>
          <w:color w:val="000000"/>
          <w:sz w:val="28"/>
          <w:szCs w:val="28"/>
          <w:u w:val="none"/>
        </w:rPr>
        <w:t>市人民政府</w:t>
      </w:r>
      <w:r>
        <w:rPr>
          <w:rFonts w:hint="default" w:ascii="Times New Roman" w:hAnsi="Times New Roman" w:eastAsia="仿宋_GB2312" w:cs="Times New Roman"/>
          <w:b w:val="0"/>
          <w:bCs w:val="0"/>
          <w:color w:val="000000"/>
          <w:sz w:val="28"/>
          <w:szCs w:val="28"/>
          <w:u w:val="none"/>
          <w:lang w:val="en-US" w:eastAsia="zh-CN"/>
        </w:rPr>
        <w:t>申请</w:t>
      </w:r>
      <w:r>
        <w:rPr>
          <w:rFonts w:hint="default" w:ascii="Times New Roman" w:hAnsi="Times New Roman" w:eastAsia="仿宋_GB2312" w:cs="Times New Roman"/>
          <w:b w:val="0"/>
          <w:bCs w:val="0"/>
          <w:color w:val="000000"/>
          <w:sz w:val="28"/>
          <w:szCs w:val="28"/>
          <w:u w:val="none"/>
        </w:rPr>
        <w:t>派出工作组指导、协助事故应急处置工作。</w:t>
      </w:r>
    </w:p>
    <w:p w14:paraId="3FD37D2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启动食品安全事故</w:t>
      </w: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级响应期间，</w:t>
      </w:r>
      <w:r>
        <w:rPr>
          <w:rFonts w:hint="default" w:ascii="Times New Roman" w:hAnsi="Times New Roman" w:eastAsia="仿宋_GB2312" w:cs="Times New Roman"/>
          <w:b w:val="0"/>
          <w:bCs w:val="0"/>
          <w:color w:val="000000"/>
          <w:sz w:val="28"/>
          <w:szCs w:val="28"/>
          <w:u w:val="none"/>
          <w:lang w:val="en-US" w:eastAsia="zh-CN"/>
        </w:rPr>
        <w:t>各</w:t>
      </w:r>
      <w:r>
        <w:rPr>
          <w:rFonts w:hint="default" w:ascii="Times New Roman" w:hAnsi="Times New Roman" w:eastAsia="仿宋_GB2312" w:cs="Times New Roman"/>
          <w:b w:val="0"/>
          <w:bCs w:val="0"/>
          <w:color w:val="000000"/>
          <w:sz w:val="28"/>
          <w:szCs w:val="28"/>
          <w:u w:val="none"/>
        </w:rPr>
        <w:t>成员单位按照旗人民政府统一部署，</w:t>
      </w:r>
      <w:r>
        <w:rPr>
          <w:rFonts w:hint="default" w:ascii="Times New Roman" w:hAnsi="Times New Roman" w:eastAsia="仿宋_GB2312" w:cs="Times New Roman"/>
          <w:b w:val="0"/>
          <w:bCs w:val="0"/>
          <w:color w:val="000000"/>
          <w:sz w:val="28"/>
          <w:szCs w:val="28"/>
          <w:u w:val="none"/>
          <w:lang w:val="en-US" w:eastAsia="zh-CN"/>
        </w:rPr>
        <w:t>按相应职责做好事故应急处置相关工作。事发地乡镇政府先期</w:t>
      </w:r>
      <w:r>
        <w:rPr>
          <w:rFonts w:hint="default" w:ascii="Times New Roman" w:hAnsi="Times New Roman" w:eastAsia="仿宋_GB2312" w:cs="Times New Roman"/>
          <w:b w:val="0"/>
          <w:bCs w:val="0"/>
          <w:color w:val="000000"/>
          <w:sz w:val="28"/>
          <w:szCs w:val="28"/>
          <w:u w:val="none"/>
        </w:rPr>
        <w:t>组织协调有关部门全力开展应急处置，并及时报告相关工作进展情况。</w:t>
      </w:r>
    </w:p>
    <w:p w14:paraId="4B53D3F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事故发生单位按照相应的处置方案开展先期处置，并配合食品药品安全委员会办公室及有关部门做好食品安全事故的应急处置。</w:t>
      </w:r>
    </w:p>
    <w:p w14:paraId="1B2D3A8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食源性疾病中涉及传染病疫情，按照《中华人民共和国传染病防治法》和《国家突发公共卫生事件应急预案》等相关规定开展疫情防控和应急处置。</w:t>
      </w:r>
    </w:p>
    <w:p w14:paraId="522D05F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5.2 应急处置措施</w:t>
      </w:r>
    </w:p>
    <w:p w14:paraId="42D8B26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级事故发生后，指挥部根据事故性质、特点和危害程度，立即组织有关部门，依照有关规定采取下列应急处置措施，最大限度减轻事故危害。</w:t>
      </w:r>
    </w:p>
    <w:p w14:paraId="4B21A23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卫生健康部门有效利用医疗资源，组织指导医疗机构开展食品安全事故患者的救治。</w:t>
      </w:r>
    </w:p>
    <w:p w14:paraId="05DBBCB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卫生健康部门及时组织疾病预防控制机构开展流行病学调查与检测，相关部门及时组织检验机构开展抽样检验，尽快查找食品安全事故发生的原因。对涉嫌犯罪的，公安机关要及时介入，开展相关违法犯罪行为侦破工作。</w:t>
      </w:r>
    </w:p>
    <w:p w14:paraId="08566CC1">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农牧、市场监管等部门应当依法强制性就地或异地封存事故相关食品及原料和被污染的食品用工具及用具，待卫健部门查明导致食品安全事故的原因后，依法采取措施进行处理。</w:t>
      </w:r>
    </w:p>
    <w:p w14:paraId="430343F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4</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对确认受到有毒有害物质污染的相关食品及原料，应当依法责令生产经营者召回、停止经营及进出口并销毁有毒有害食品及原料。检验后确认未被污染的应当予以解封。</w:t>
      </w:r>
    </w:p>
    <w:p w14:paraId="03FBDEA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5</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及时组织研判事故发展态势，并向事故可能蔓延到的</w:t>
      </w:r>
      <w:r>
        <w:rPr>
          <w:rFonts w:hint="default" w:ascii="Times New Roman" w:hAnsi="Times New Roman" w:eastAsia="仿宋_GB2312" w:cs="Times New Roman"/>
          <w:b w:val="0"/>
          <w:bCs w:val="0"/>
          <w:color w:val="000000"/>
          <w:sz w:val="28"/>
          <w:szCs w:val="28"/>
          <w:u w:val="none"/>
          <w:lang w:val="en-US" w:eastAsia="zh-CN"/>
        </w:rPr>
        <w:t>旗县</w:t>
      </w:r>
      <w:r>
        <w:rPr>
          <w:rFonts w:hint="default" w:ascii="Times New Roman" w:hAnsi="Times New Roman" w:eastAsia="仿宋_GB2312" w:cs="Times New Roman"/>
          <w:b w:val="0"/>
          <w:bCs w:val="0"/>
          <w:color w:val="000000"/>
          <w:sz w:val="28"/>
          <w:szCs w:val="28"/>
          <w:u w:val="none"/>
        </w:rPr>
        <w:t>人民政府通报信息，提醒做好应对准备，并及时报告</w:t>
      </w:r>
      <w:r>
        <w:rPr>
          <w:rFonts w:hint="default" w:ascii="Times New Roman" w:hAnsi="Times New Roman" w:eastAsia="仿宋_GB2312" w:cs="Times New Roman"/>
          <w:b w:val="0"/>
          <w:bCs w:val="0"/>
          <w:color w:val="000000"/>
          <w:sz w:val="28"/>
          <w:szCs w:val="28"/>
          <w:u w:val="none"/>
          <w:lang w:eastAsia="zh-CN"/>
        </w:rPr>
        <w:t>市</w:t>
      </w:r>
      <w:r>
        <w:rPr>
          <w:rFonts w:hint="default" w:ascii="Times New Roman" w:hAnsi="Times New Roman" w:eastAsia="仿宋_GB2312" w:cs="Times New Roman"/>
          <w:b w:val="0"/>
          <w:bCs w:val="0"/>
          <w:color w:val="000000"/>
          <w:sz w:val="28"/>
          <w:szCs w:val="28"/>
          <w:u w:val="none"/>
        </w:rPr>
        <w:t>食品药品安全委员会办公室。</w:t>
      </w:r>
    </w:p>
    <w:p w14:paraId="3F160C2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5.3 检测分析评估</w:t>
      </w:r>
    </w:p>
    <w:p w14:paraId="4285124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应急处置专业技术机构应当对引发食品安全事故的相关危险因素及时进行检测，专家组对检测数据进行综合分析和评估，分析事故发展趋势、预测事故后果，为制定事故调查和现场处置方案提供参考</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有关部门对食品安全事故相关危险因素进行消除或控制，事故中伤病人员救治，现场、受污染食品控制，食品与环境，次生、衍生事故隐患消除等情况进行分析评估。</w:t>
      </w:r>
    </w:p>
    <w:p w14:paraId="4F1AABB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5.4 响应级别调整及终止</w:t>
      </w:r>
    </w:p>
    <w:p w14:paraId="4F89785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在食品安全事故处置过程中，要遵循事故发生发展的客观规律，结合实际情况和防控工作需要，根据评估结果及时调整应急响应级别，直至响应终止。</w:t>
      </w:r>
    </w:p>
    <w:p w14:paraId="64B4679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5.4</w:t>
      </w:r>
      <w:r>
        <w:rPr>
          <w:rFonts w:hint="default" w:ascii="Times New Roman" w:hAnsi="Times New Roman" w:eastAsia="仿宋_GB2312" w:cs="Times New Roman"/>
          <w:b w:val="0"/>
          <w:bCs w:val="0"/>
          <w:color w:val="000000"/>
          <w:sz w:val="28"/>
          <w:szCs w:val="28"/>
          <w:u w:val="none"/>
          <w:lang w:val="en-US" w:eastAsia="zh-CN"/>
        </w:rPr>
        <w:t>.</w:t>
      </w:r>
      <w:r>
        <w:rPr>
          <w:rFonts w:hint="default" w:ascii="Times New Roman" w:hAnsi="Times New Roman" w:eastAsia="仿宋_GB2312" w:cs="Times New Roman"/>
          <w:b w:val="0"/>
          <w:bCs w:val="0"/>
          <w:color w:val="000000"/>
          <w:sz w:val="28"/>
          <w:szCs w:val="28"/>
          <w:u w:val="none"/>
        </w:rPr>
        <w:t>1</w:t>
      </w:r>
      <w:r>
        <w:rPr>
          <w:rFonts w:hint="default" w:ascii="Times New Roman" w:hAnsi="Times New Roman" w:eastAsia="仿宋_GB2312" w:cs="Times New Roman"/>
          <w:b w:val="0"/>
          <w:bCs w:val="0"/>
          <w:color w:val="000000"/>
          <w:sz w:val="28"/>
          <w:szCs w:val="28"/>
          <w:u w:val="none"/>
          <w:lang w:val="en-US" w:eastAsia="zh-CN"/>
        </w:rPr>
        <w:t xml:space="preserve"> </w:t>
      </w:r>
      <w:r>
        <w:rPr>
          <w:rFonts w:hint="default" w:ascii="Times New Roman" w:hAnsi="Times New Roman" w:eastAsia="仿宋_GB2312" w:cs="Times New Roman"/>
          <w:b w:val="0"/>
          <w:bCs w:val="0"/>
          <w:color w:val="000000"/>
          <w:sz w:val="28"/>
          <w:szCs w:val="28"/>
          <w:u w:val="none"/>
        </w:rPr>
        <w:t>响应级别调整及终止条件</w:t>
      </w:r>
    </w:p>
    <w:p w14:paraId="53DB0C3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1</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级别提升</w:t>
      </w:r>
    </w:p>
    <w:p w14:paraId="553FA3C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当事故进一步加重，影响和危害扩大，并有蔓延趋势，情况复杂难以控制时，应当及时提升响应级别。</w:t>
      </w:r>
    </w:p>
    <w:p w14:paraId="7A4C56EE">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当学校或托幼机构、全区性或区域性重要活动期间发生食品安全事故时，可</w:t>
      </w:r>
      <w:r>
        <w:rPr>
          <w:rFonts w:hint="default" w:ascii="Times New Roman" w:hAnsi="Times New Roman" w:eastAsia="仿宋_GB2312" w:cs="Times New Roman"/>
          <w:b w:val="0"/>
          <w:bCs w:val="0"/>
          <w:color w:val="000000"/>
          <w:sz w:val="28"/>
          <w:szCs w:val="28"/>
          <w:highlight w:val="none"/>
          <w:u w:val="none"/>
          <w:lang w:eastAsia="zh-CN"/>
        </w:rPr>
        <w:t>视情况</w:t>
      </w:r>
      <w:r>
        <w:rPr>
          <w:rFonts w:hint="default" w:ascii="Times New Roman" w:hAnsi="Times New Roman" w:eastAsia="仿宋_GB2312" w:cs="Times New Roman"/>
          <w:b w:val="0"/>
          <w:bCs w:val="0"/>
          <w:color w:val="000000"/>
          <w:sz w:val="28"/>
          <w:szCs w:val="28"/>
          <w:u w:val="none"/>
        </w:rPr>
        <w:t>提高响应级别，加大应急处置力度，确保迅速、有效控制食品安全事故，维护社会稳定。</w:t>
      </w:r>
    </w:p>
    <w:p w14:paraId="2F82869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级别降低</w:t>
      </w:r>
    </w:p>
    <w:p w14:paraId="740B9C62">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事故危害得到有效控制，且经研判认为事故危害降低到原级别评估标准以下或无进一步扩散趋势的，可降低应急响应级别。</w:t>
      </w:r>
    </w:p>
    <w:p w14:paraId="13C24B1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lang w:val="en-US" w:eastAsia="zh-CN"/>
        </w:rPr>
        <w:t>3</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响应终止</w:t>
      </w:r>
    </w:p>
    <w:p w14:paraId="227433E6">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当食品安全事故得到控制，并达到以下两项要求，经分析评估认为可解除响应的，应当及时终止响应。一是食品安全事故伤病员全部得到救治，患者病情稳定24小时以上，且无新的急性病症患者出现</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食源性感染性疾病在末例患者后经过最长潜伏期无新病例出现</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二是现场、受污染食品得以有效控制，食品与环境污染得到有效清理并符合相关标准，次生、衍生事故隐患消除。</w:t>
      </w:r>
    </w:p>
    <w:p w14:paraId="6C80FD0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5.4.2 响应级别调整及终止程序</w:t>
      </w:r>
    </w:p>
    <w:p w14:paraId="41377ED3">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级事故由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指挥部组织进行分析评估论证。评估认为符合级别调整条件的，</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指挥部提出调整应急响应级别建议，报</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人民政府批准后实施。应急响应级别调整后，事故相关地区人民政府应当结合调整后级别采取相应措施，评估认为符合响应终止条件时，指挥部提出终止响应的建议，报</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人民政府批准后实施。</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人民政府有关部门应当根据有关部门的请求，及时组织专家为食品安全事故响应级别调整和终止的分析论证提供技术支持与指导。</w:t>
      </w:r>
    </w:p>
    <w:p w14:paraId="7532D86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5.5 信息发布</w:t>
      </w:r>
    </w:p>
    <w:p w14:paraId="2B8B0D90">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文泉驿微米黑" w:cs="Times New Roman"/>
          <w:b w:val="0"/>
          <w:bCs w:val="0"/>
          <w:color w:val="000000"/>
          <w:sz w:val="28"/>
          <w:szCs w:val="28"/>
          <w:u w:val="none"/>
        </w:rPr>
        <w:t>Ⅳ</w:t>
      </w:r>
      <w:r>
        <w:rPr>
          <w:rFonts w:hint="default" w:ascii="Times New Roman" w:hAnsi="Times New Roman" w:eastAsia="仿宋_GB2312" w:cs="Times New Roman"/>
          <w:b w:val="0"/>
          <w:bCs w:val="0"/>
          <w:color w:val="000000"/>
          <w:sz w:val="28"/>
          <w:szCs w:val="28"/>
          <w:u w:val="none"/>
        </w:rPr>
        <w:t>级事故信息发布由指挥部或其办公室统一组织，采取召开</w:t>
      </w:r>
      <w:r>
        <w:rPr>
          <w:rFonts w:hint="default" w:ascii="Times New Roman" w:hAnsi="Times New Roman" w:eastAsia="仿宋_GB2312" w:cs="Times New Roman"/>
          <w:b w:val="0"/>
          <w:bCs w:val="0"/>
          <w:color w:val="000000"/>
          <w:sz w:val="28"/>
          <w:szCs w:val="28"/>
          <w:highlight w:val="none"/>
          <w:u w:val="none"/>
        </w:rPr>
        <w:t>新闻发布会、发布新闻通稿</w:t>
      </w:r>
      <w:r>
        <w:rPr>
          <w:rFonts w:hint="default" w:ascii="Times New Roman" w:hAnsi="Times New Roman" w:eastAsia="仿宋_GB2312" w:cs="Times New Roman"/>
          <w:b w:val="0"/>
          <w:bCs w:val="0"/>
          <w:color w:val="000000"/>
          <w:sz w:val="28"/>
          <w:szCs w:val="28"/>
          <w:u w:val="none"/>
        </w:rPr>
        <w:t>等多种形式向社会发布，做好宣传报道和舆论引导。</w:t>
      </w:r>
    </w:p>
    <w:p w14:paraId="560875B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color w:val="000000"/>
          <w:sz w:val="28"/>
          <w:szCs w:val="28"/>
          <w:u w:val="none"/>
        </w:rPr>
      </w:pPr>
      <w:r>
        <w:rPr>
          <w:rFonts w:hint="default" w:ascii="Times New Roman" w:hAnsi="Times New Roman" w:eastAsia="黑体" w:cs="Times New Roman"/>
          <w:b w:val="0"/>
          <w:bCs w:val="0"/>
          <w:color w:val="000000"/>
          <w:sz w:val="28"/>
          <w:szCs w:val="28"/>
          <w:u w:val="none"/>
        </w:rPr>
        <w:t>6</w:t>
      </w:r>
      <w:r>
        <w:rPr>
          <w:rFonts w:hint="eastAsia" w:ascii="Times New Roman" w:hAnsi="Times New Roman" w:eastAsia="黑体" w:cs="Times New Roman"/>
          <w:b w:val="0"/>
          <w:bCs w:val="0"/>
          <w:color w:val="000000"/>
          <w:sz w:val="28"/>
          <w:szCs w:val="28"/>
          <w:u w:val="none"/>
          <w:lang w:val="en-US" w:eastAsia="zh-CN"/>
        </w:rPr>
        <w:t xml:space="preserve"> </w:t>
      </w:r>
      <w:r>
        <w:rPr>
          <w:rFonts w:hint="default" w:ascii="Times New Roman" w:hAnsi="Times New Roman" w:eastAsia="黑体" w:cs="Times New Roman"/>
          <w:b w:val="0"/>
          <w:bCs w:val="0"/>
          <w:color w:val="000000"/>
          <w:sz w:val="28"/>
          <w:szCs w:val="28"/>
          <w:u w:val="none"/>
        </w:rPr>
        <w:t>后期处置</w:t>
      </w:r>
    </w:p>
    <w:p w14:paraId="3227FEF2">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6.1 善后处置</w:t>
      </w:r>
    </w:p>
    <w:p w14:paraId="24A51D0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食品安全事故的善后处置包括人员安置、赔偿、补偿，征用物资及运输工具补偿</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应急及医疗机构垫付费用、事故受害者后续治疗费用的及时支付以及产品抽样及检验费用的及时拨付</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污染物收集、清理与处理</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涉外和涉港澳台的有关善后处理工作等。</w:t>
      </w:r>
    </w:p>
    <w:p w14:paraId="79D96BE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旗人民政府及</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直有关部门要积极稳妥、深入细致地做好善后处置工作</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尽快妥善安置、慰问受害和受影响人员，消除事故影响，恢复正常秩序。完善相关政策，促进行业健康发展。</w:t>
      </w:r>
    </w:p>
    <w:p w14:paraId="2BB3D77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食品安全事故发生后，保险机构应当及时开展应急救援人员保险受理和受灾人员保险理赔工作。</w:t>
      </w:r>
    </w:p>
    <w:p w14:paraId="7EBB1A74">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造成食品安全事故的责任单位和责任人应当按照有关规定对受害人给予赔偿，承担受害人后续治疗及保障等所需全部费用。</w:t>
      </w:r>
    </w:p>
    <w:p w14:paraId="04344FE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6.2 奖惩</w:t>
      </w:r>
    </w:p>
    <w:p w14:paraId="34272D0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6.2.1 奖励</w:t>
      </w:r>
    </w:p>
    <w:p w14:paraId="7A420860">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对在食品安全事故应急管理和处置工作中做出突出贡献的先进集体和个人，经</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人民政府批准</w:t>
      </w:r>
      <w:r>
        <w:rPr>
          <w:rFonts w:hint="default" w:ascii="Times New Roman" w:hAnsi="Times New Roman" w:eastAsia="仿宋_GB2312" w:cs="Times New Roman"/>
          <w:b w:val="0"/>
          <w:bCs w:val="0"/>
          <w:color w:val="000000"/>
          <w:sz w:val="28"/>
          <w:szCs w:val="28"/>
          <w:highlight w:val="none"/>
          <w:u w:val="none"/>
        </w:rPr>
        <w:t>，给予</w:t>
      </w:r>
      <w:r>
        <w:rPr>
          <w:rFonts w:hint="eastAsia" w:ascii="Times New Roman" w:hAnsi="Times New Roman" w:eastAsia="仿宋_GB2312" w:cs="Times New Roman"/>
          <w:b w:val="0"/>
          <w:bCs w:val="0"/>
          <w:color w:val="000000"/>
          <w:sz w:val="28"/>
          <w:szCs w:val="28"/>
          <w:highlight w:val="none"/>
          <w:u w:val="none"/>
          <w:lang w:eastAsia="zh-CN"/>
        </w:rPr>
        <w:t>通报表扬</w:t>
      </w:r>
      <w:r>
        <w:rPr>
          <w:rFonts w:hint="default" w:ascii="Times New Roman" w:hAnsi="Times New Roman" w:eastAsia="仿宋_GB2312" w:cs="Times New Roman"/>
          <w:b w:val="0"/>
          <w:bCs w:val="0"/>
          <w:color w:val="000000"/>
          <w:sz w:val="28"/>
          <w:szCs w:val="28"/>
          <w:u w:val="none"/>
        </w:rPr>
        <w:t>。</w:t>
      </w:r>
    </w:p>
    <w:p w14:paraId="2F6CE20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6.2.2 责任追究</w:t>
      </w:r>
    </w:p>
    <w:p w14:paraId="7288ADC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对迟报、谎报、瞒报和漏报食品安全事故重要情况或者应急管理工作中有其他失职、渎职行为的，依法追究有关责任单位或责任人的责任</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构成犯罪的，依法追究刑事责任。</w:t>
      </w:r>
    </w:p>
    <w:p w14:paraId="194659C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6.3 总结</w:t>
      </w:r>
    </w:p>
    <w:p w14:paraId="0DD2292F">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食品安全事故善后处置工作结束后，</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办公室应当组织有关部门及时对食品安全事故和应急处置工作进行总结，分析事故原因和影响因素，评估应急处置工作开展情况和效果，提出对类似事故的防范和处置建议，认真总结应急工作的经验教训，并据此进一步修订完善相关预案</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形成总结报告。</w:t>
      </w:r>
    </w:p>
    <w:p w14:paraId="2C7F3F1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color w:val="000000"/>
          <w:sz w:val="28"/>
          <w:szCs w:val="28"/>
          <w:u w:val="none"/>
        </w:rPr>
      </w:pPr>
      <w:r>
        <w:rPr>
          <w:rFonts w:hint="default" w:ascii="Times New Roman" w:hAnsi="Times New Roman" w:eastAsia="黑体" w:cs="Times New Roman"/>
          <w:b w:val="0"/>
          <w:bCs w:val="0"/>
          <w:color w:val="000000"/>
          <w:sz w:val="28"/>
          <w:szCs w:val="28"/>
          <w:u w:val="none"/>
        </w:rPr>
        <w:t>7 附则</w:t>
      </w:r>
    </w:p>
    <w:p w14:paraId="5358821A">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7.1</w:t>
      </w:r>
      <w:r>
        <w:rPr>
          <w:rFonts w:hint="default" w:ascii="Times New Roman" w:hAnsi="Times New Roman" w:eastAsia="楷体_GB2312" w:cs="Times New Roman"/>
          <w:b w:val="0"/>
          <w:bCs w:val="0"/>
          <w:color w:val="000000"/>
          <w:kern w:val="0"/>
          <w:sz w:val="28"/>
          <w:szCs w:val="28"/>
          <w:u w:val="none"/>
          <w:shd w:val="clear" w:color="auto" w:fill="FFFFFF"/>
          <w:lang w:val="en-US" w:eastAsia="zh-CN"/>
        </w:rPr>
        <w:t xml:space="preserve"> </w:t>
      </w:r>
      <w:r>
        <w:rPr>
          <w:rFonts w:hint="default" w:ascii="Times New Roman" w:hAnsi="Times New Roman" w:eastAsia="楷体_GB2312" w:cs="Times New Roman"/>
          <w:b w:val="0"/>
          <w:bCs w:val="0"/>
          <w:color w:val="000000"/>
          <w:kern w:val="0"/>
          <w:sz w:val="28"/>
          <w:szCs w:val="28"/>
          <w:u w:val="none"/>
          <w:shd w:val="clear" w:color="auto" w:fill="FFFFFF"/>
        </w:rPr>
        <w:t>预案管理与更新</w:t>
      </w:r>
    </w:p>
    <w:p w14:paraId="0C9DCC8D">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与食品安全事故处置有关的法律法规被修订，部门职责或应急资源发生变化，应急预案在实施过程中出现新情况或新问题时，要结合实际及时修订与完善本预案。</w:t>
      </w:r>
    </w:p>
    <w:p w14:paraId="4E012C10">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7.2 培训、演练</w:t>
      </w:r>
    </w:p>
    <w:p w14:paraId="3994945B">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直有关部门要对参与应急行动的各类人员的有关知识和技能培训，并要开展食品安全事故应急演练，以检验和强化应急准备和应急响应能力，并通过对演习演练的总结评估，完善应急预案。</w:t>
      </w:r>
    </w:p>
    <w:p w14:paraId="3AAE73E9">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7.3 制定与解释</w:t>
      </w:r>
    </w:p>
    <w:p w14:paraId="13FD1CE7">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本预案由</w:t>
      </w:r>
      <w:r>
        <w:rPr>
          <w:rFonts w:hint="default" w:ascii="Times New Roman" w:hAnsi="Times New Roman" w:eastAsia="仿宋_GB2312" w:cs="Times New Roman"/>
          <w:b w:val="0"/>
          <w:bCs w:val="0"/>
          <w:color w:val="000000"/>
          <w:sz w:val="28"/>
          <w:szCs w:val="28"/>
          <w:u w:val="none"/>
          <w:lang w:eastAsia="zh-CN"/>
        </w:rPr>
        <w:t>旗</w:t>
      </w:r>
      <w:r>
        <w:rPr>
          <w:rFonts w:hint="default" w:ascii="Times New Roman" w:hAnsi="Times New Roman" w:eastAsia="仿宋_GB2312" w:cs="Times New Roman"/>
          <w:b w:val="0"/>
          <w:bCs w:val="0"/>
          <w:color w:val="000000"/>
          <w:sz w:val="28"/>
          <w:szCs w:val="28"/>
          <w:u w:val="none"/>
        </w:rPr>
        <w:t>食品药品安全委员会</w:t>
      </w:r>
      <w:r>
        <w:rPr>
          <w:rFonts w:hint="default" w:ascii="Times New Roman" w:hAnsi="Times New Roman" w:eastAsia="仿宋_GB2312" w:cs="Times New Roman"/>
          <w:b w:val="0"/>
          <w:bCs w:val="0"/>
          <w:color w:val="000000"/>
          <w:sz w:val="28"/>
          <w:szCs w:val="28"/>
          <w:u w:val="none"/>
          <w:lang w:val="en-US" w:eastAsia="zh-CN"/>
        </w:rPr>
        <w:t>办公室</w:t>
      </w:r>
      <w:r>
        <w:rPr>
          <w:rFonts w:hint="default" w:ascii="Times New Roman" w:hAnsi="Times New Roman" w:eastAsia="仿宋_GB2312" w:cs="Times New Roman"/>
          <w:b w:val="0"/>
          <w:bCs w:val="0"/>
          <w:color w:val="000000"/>
          <w:sz w:val="28"/>
          <w:szCs w:val="28"/>
          <w:u w:val="none"/>
        </w:rPr>
        <w:t>制定并负责解释。</w:t>
      </w:r>
    </w:p>
    <w:p w14:paraId="25F9036C">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楷体_GB2312" w:cs="Times New Roman"/>
          <w:b w:val="0"/>
          <w:bCs w:val="0"/>
          <w:color w:val="000000"/>
          <w:kern w:val="0"/>
          <w:sz w:val="28"/>
          <w:szCs w:val="28"/>
          <w:u w:val="none"/>
          <w:shd w:val="clear" w:color="auto" w:fill="FFFFFF"/>
        </w:rPr>
      </w:pPr>
      <w:r>
        <w:rPr>
          <w:rFonts w:hint="default" w:ascii="Times New Roman" w:hAnsi="Times New Roman" w:eastAsia="楷体_GB2312" w:cs="Times New Roman"/>
          <w:b w:val="0"/>
          <w:bCs w:val="0"/>
          <w:color w:val="000000"/>
          <w:kern w:val="0"/>
          <w:sz w:val="28"/>
          <w:szCs w:val="28"/>
          <w:u w:val="none"/>
          <w:shd w:val="clear" w:color="auto" w:fill="FFFFFF"/>
        </w:rPr>
        <w:t>7.4 预案实施</w:t>
      </w:r>
    </w:p>
    <w:p w14:paraId="46C7DDD5">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本预案自印发之日起施行。</w:t>
      </w:r>
    </w:p>
    <w:p w14:paraId="02A56EA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sz w:val="28"/>
          <w:szCs w:val="28"/>
          <w:u w:val="none"/>
          <w:lang w:val="en-US" w:eastAsia="zh-CN"/>
        </w:rPr>
      </w:pPr>
    </w:p>
    <w:p w14:paraId="236958B8">
      <w:pPr>
        <w:keepNext w:val="0"/>
        <w:keepLines w:val="0"/>
        <w:pageBreakBefore w:val="0"/>
        <w:widowControl w:val="0"/>
        <w:suppressAutoHyphens/>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rPr>
        <w:t>附件</w:t>
      </w:r>
      <w:r>
        <w:rPr>
          <w:rFonts w:hint="default" w:ascii="Times New Roman" w:hAnsi="Times New Roman" w:eastAsia="仿宋_GB2312" w:cs="Times New Roman"/>
          <w:b w:val="0"/>
          <w:bCs w:val="0"/>
          <w:color w:val="000000"/>
          <w:sz w:val="28"/>
          <w:szCs w:val="28"/>
          <w:u w:val="none"/>
          <w:lang w:eastAsia="zh-CN"/>
        </w:rPr>
        <w:t>：</w:t>
      </w:r>
      <w:r>
        <w:rPr>
          <w:rFonts w:hint="default" w:ascii="Times New Roman" w:hAnsi="Times New Roman" w:eastAsia="仿宋_GB2312" w:cs="Times New Roman"/>
          <w:b w:val="0"/>
          <w:bCs w:val="0"/>
          <w:color w:val="000000"/>
          <w:sz w:val="28"/>
          <w:szCs w:val="28"/>
          <w:u w:val="none"/>
        </w:rPr>
        <w:t>1.食品安全事故分级标准和响应规定</w:t>
      </w:r>
    </w:p>
    <w:p w14:paraId="61373168">
      <w:pPr>
        <w:keepNext w:val="0"/>
        <w:keepLines w:val="0"/>
        <w:pageBreakBefore w:val="0"/>
        <w:widowControl w:val="0"/>
        <w:suppressAutoHyphens/>
        <w:kinsoku/>
        <w:wordWrap/>
        <w:overflowPunct/>
        <w:topLinePunct w:val="0"/>
        <w:autoSpaceDE/>
        <w:autoSpaceDN/>
        <w:bidi w:val="0"/>
        <w:adjustRightInd/>
        <w:snapToGrid/>
        <w:spacing w:line="440" w:lineRule="exact"/>
        <w:ind w:firstLine="1400" w:firstLineChars="500"/>
        <w:textAlignment w:val="auto"/>
        <w:rPr>
          <w:rFonts w:hint="default" w:ascii="Times New Roman" w:hAnsi="Times New Roman" w:eastAsia="仿宋_GB2312" w:cs="Times New Roman"/>
          <w:b w:val="0"/>
          <w:bCs w:val="0"/>
          <w:color w:val="000000"/>
          <w:sz w:val="28"/>
          <w:szCs w:val="28"/>
          <w:u w:val="none"/>
        </w:rPr>
      </w:pPr>
      <w:r>
        <w:rPr>
          <w:rFonts w:hint="default" w:ascii="Times New Roman" w:hAnsi="Times New Roman" w:eastAsia="仿宋_GB2312" w:cs="Times New Roman"/>
          <w:b w:val="0"/>
          <w:bCs w:val="0"/>
          <w:color w:val="000000"/>
          <w:sz w:val="28"/>
          <w:szCs w:val="28"/>
          <w:u w:val="none"/>
          <w:lang w:val="en-US" w:eastAsia="zh-CN"/>
        </w:rPr>
        <w:t>2.</w:t>
      </w:r>
      <w:r>
        <w:rPr>
          <w:rFonts w:hint="default" w:ascii="Times New Roman" w:hAnsi="Times New Roman" w:eastAsia="仿宋_GB2312" w:cs="Times New Roman"/>
          <w:b w:val="0"/>
          <w:bCs w:val="0"/>
          <w:color w:val="000000"/>
          <w:sz w:val="28"/>
          <w:szCs w:val="28"/>
          <w:u w:val="none"/>
          <w:lang w:eastAsia="zh-CN"/>
        </w:rPr>
        <w:t>一般</w:t>
      </w:r>
      <w:r>
        <w:rPr>
          <w:rFonts w:hint="default" w:ascii="Times New Roman" w:hAnsi="Times New Roman" w:eastAsia="仿宋_GB2312" w:cs="Times New Roman"/>
          <w:b w:val="0"/>
          <w:bCs w:val="0"/>
          <w:color w:val="000000"/>
          <w:sz w:val="28"/>
          <w:szCs w:val="28"/>
          <w:u w:val="none"/>
        </w:rPr>
        <w:t>食品安全事故应急处置程序</w:t>
      </w:r>
    </w:p>
    <w:p w14:paraId="48A86015">
      <w:pPr>
        <w:keepNext w:val="0"/>
        <w:keepLines w:val="0"/>
        <w:pageBreakBefore w:val="0"/>
        <w:widowControl w:val="0"/>
        <w:kinsoku/>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rPr>
        <w:br w:type="page"/>
      </w:r>
    </w:p>
    <w:p w14:paraId="5292021C">
      <w:pPr>
        <w:keepNext w:val="0"/>
        <w:keepLines w:val="0"/>
        <w:pageBreakBefore w:val="0"/>
        <w:widowControl w:val="0"/>
        <w:suppressAutoHyphen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8"/>
          <w:szCs w:val="28"/>
          <w:u w:val="none"/>
          <w:shd w:val="clear" w:color="auto" w:fill="FFFFFF"/>
          <w:lang w:val="en-US" w:eastAsia="zh-CN"/>
        </w:rPr>
      </w:pPr>
      <w:r>
        <w:rPr>
          <w:rFonts w:hint="eastAsia" w:ascii="仿宋_GB2312" w:hAnsi="仿宋_GB2312" w:eastAsia="仿宋_GB2312" w:cs="仿宋_GB2312"/>
          <w:b w:val="0"/>
          <w:bCs w:val="0"/>
          <w:color w:val="000000"/>
          <w:kern w:val="0"/>
          <w:sz w:val="28"/>
          <w:szCs w:val="28"/>
          <w:u w:val="none"/>
          <w:shd w:val="clear" w:color="auto" w:fill="FFFFFF"/>
          <w:lang w:val="en-US" w:eastAsia="zh-CN"/>
        </w:rPr>
        <w:t>附件1</w:t>
      </w:r>
    </w:p>
    <w:p w14:paraId="48E335E3">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sz w:val="32"/>
          <w:szCs w:val="32"/>
          <w:u w:val="none"/>
          <w:lang w:val="en-US" w:eastAsia="zh-CN"/>
        </w:rPr>
      </w:pPr>
      <w:r>
        <w:rPr>
          <w:rFonts w:hint="eastAsia" w:ascii="方正小标宋简体" w:hAnsi="方正小标宋简体" w:eastAsia="方正小标宋简体" w:cs="方正小标宋简体"/>
          <w:color w:val="000000"/>
          <w:sz w:val="32"/>
          <w:szCs w:val="32"/>
          <w:u w:val="none"/>
          <w:lang w:val="en-US" w:eastAsia="zh-CN"/>
        </w:rPr>
        <w:t>食品安全事故分级标准和响应规定</w:t>
      </w:r>
    </w:p>
    <w:tbl>
      <w:tblPr>
        <w:tblStyle w:val="10"/>
        <w:tblW w:w="91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5425"/>
        <w:gridCol w:w="2000"/>
      </w:tblGrid>
      <w:tr w14:paraId="6367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noWrap w:val="0"/>
            <w:vAlign w:val="center"/>
          </w:tcPr>
          <w:p w14:paraId="1B3D1558">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级别</w:t>
            </w:r>
          </w:p>
        </w:tc>
        <w:tc>
          <w:tcPr>
            <w:tcW w:w="5425" w:type="dxa"/>
            <w:noWrap w:val="0"/>
            <w:vAlign w:val="center"/>
          </w:tcPr>
          <w:p w14:paraId="0EEE4417">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标准</w:t>
            </w:r>
          </w:p>
        </w:tc>
        <w:tc>
          <w:tcPr>
            <w:tcW w:w="2000" w:type="dxa"/>
            <w:noWrap w:val="0"/>
            <w:vAlign w:val="center"/>
          </w:tcPr>
          <w:p w14:paraId="60D6F078">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 w:cs="Times New Roman"/>
                <w:sz w:val="28"/>
                <w:szCs w:val="28"/>
                <w:u w:val="none"/>
                <w:vertAlign w:val="baseline"/>
                <w:lang w:val="en-US" w:eastAsia="zh-CN"/>
              </w:rPr>
            </w:pPr>
            <w:r>
              <w:rPr>
                <w:rFonts w:hint="default" w:ascii="Times New Roman" w:hAnsi="Times New Roman" w:eastAsia="仿宋" w:cs="Times New Roman"/>
                <w:sz w:val="28"/>
                <w:szCs w:val="28"/>
                <w:u w:val="none"/>
                <w:vertAlign w:val="baseline"/>
                <w:lang w:val="en-US" w:eastAsia="zh-CN"/>
              </w:rPr>
              <w:t>响应级别</w:t>
            </w:r>
          </w:p>
        </w:tc>
      </w:tr>
      <w:tr w14:paraId="7739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750" w:type="dxa"/>
            <w:noWrap w:val="0"/>
            <w:vAlign w:val="center"/>
          </w:tcPr>
          <w:p w14:paraId="3F36E489">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特别重大食品安全事故</w:t>
            </w:r>
          </w:p>
        </w:tc>
        <w:tc>
          <w:tcPr>
            <w:tcW w:w="5425" w:type="dxa"/>
            <w:noWrap w:val="0"/>
            <w:vAlign w:val="center"/>
          </w:tcPr>
          <w:p w14:paraId="157977EA">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（1）事故危害特别严重，对2个以上省份造成严重威胁，并有进一步扩散趋势的；</w:t>
            </w:r>
          </w:p>
          <w:p w14:paraId="6EB9E8A7">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（2）超出事发地省级人民政府处置能力水平的；</w:t>
            </w:r>
          </w:p>
          <w:p w14:paraId="43920ADD">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（3）发生跨境（包括港澳台地区）食品安全事故，造成特别严重社会影响的；</w:t>
            </w:r>
          </w:p>
          <w:p w14:paraId="4D6DC2C0">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（4）国务院认定需要由国务院或国务院授权有关部门负责处置的。</w:t>
            </w:r>
          </w:p>
        </w:tc>
        <w:tc>
          <w:tcPr>
            <w:tcW w:w="2000" w:type="dxa"/>
            <w:noWrap w:val="0"/>
            <w:vAlign w:val="center"/>
          </w:tcPr>
          <w:p w14:paraId="5BA07BEA">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国务院启动</w:t>
            </w:r>
          </w:p>
          <w:p w14:paraId="6F15591A">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Ⅰ级响应</w:t>
            </w:r>
          </w:p>
        </w:tc>
      </w:tr>
      <w:tr w14:paraId="086E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1750" w:type="dxa"/>
            <w:noWrap w:val="0"/>
            <w:vAlign w:val="center"/>
          </w:tcPr>
          <w:p w14:paraId="106839E9">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重大食品</w:t>
            </w:r>
          </w:p>
          <w:p w14:paraId="3EA0E56E">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安全事故</w:t>
            </w:r>
          </w:p>
        </w:tc>
        <w:tc>
          <w:tcPr>
            <w:tcW w:w="5425" w:type="dxa"/>
            <w:noWrap w:val="0"/>
            <w:vAlign w:val="center"/>
          </w:tcPr>
          <w:p w14:paraId="05B493D8">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（1）事故危害严重，影响范围涉及自治区内2个盟市以上行政区域的；</w:t>
            </w:r>
          </w:p>
          <w:p w14:paraId="3E032687">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（2）1起食物中毒事件中毒人数100人以上，并出现死亡病例；</w:t>
            </w:r>
          </w:p>
          <w:p w14:paraId="2566A4DC">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（3）1起食品中毒事故造成10例以上死亡病例的；</w:t>
            </w:r>
          </w:p>
          <w:p w14:paraId="0D504F85">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（4）自治区人民政府认定的重大食品安全事故。</w:t>
            </w:r>
          </w:p>
        </w:tc>
        <w:tc>
          <w:tcPr>
            <w:tcW w:w="2000" w:type="dxa"/>
            <w:noWrap w:val="0"/>
            <w:vAlign w:val="center"/>
          </w:tcPr>
          <w:p w14:paraId="24FB2B2C">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自治区人民政府启动Ⅱ级响应</w:t>
            </w:r>
          </w:p>
        </w:tc>
      </w:tr>
      <w:tr w14:paraId="3449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750" w:type="dxa"/>
            <w:noWrap w:val="0"/>
            <w:vAlign w:val="center"/>
          </w:tcPr>
          <w:p w14:paraId="4D87AA68">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较大食品</w:t>
            </w:r>
          </w:p>
          <w:p w14:paraId="6206DFBD">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安全事故</w:t>
            </w:r>
          </w:p>
        </w:tc>
        <w:tc>
          <w:tcPr>
            <w:tcW w:w="5425" w:type="dxa"/>
            <w:noWrap w:val="0"/>
            <w:vAlign w:val="center"/>
          </w:tcPr>
          <w:p w14:paraId="607FD970">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（1）事故影响范围涉及本市行政区域内2个以上旗县级行政区域，给人民群众饮食安全带来严重危害的；</w:t>
            </w:r>
          </w:p>
          <w:p w14:paraId="159B7746">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（2）1起食物中毒事故中毒人数在100人以上；或出现死亡病例的；</w:t>
            </w:r>
          </w:p>
          <w:p w14:paraId="3C958BFB">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（3）盟市级以上人民政府认定的其他较大食品安全事故。</w:t>
            </w:r>
          </w:p>
        </w:tc>
        <w:tc>
          <w:tcPr>
            <w:tcW w:w="2000" w:type="dxa"/>
            <w:noWrap w:val="0"/>
            <w:vAlign w:val="center"/>
          </w:tcPr>
          <w:p w14:paraId="68A0E846">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市级人民政府</w:t>
            </w:r>
          </w:p>
          <w:p w14:paraId="2CA9D715">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启动Ⅲ级响应</w:t>
            </w:r>
          </w:p>
        </w:tc>
      </w:tr>
      <w:tr w14:paraId="0E21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750" w:type="dxa"/>
            <w:noWrap w:val="0"/>
            <w:vAlign w:val="center"/>
          </w:tcPr>
          <w:p w14:paraId="5231C658">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一般食品</w:t>
            </w:r>
          </w:p>
          <w:p w14:paraId="70EA3D25">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安全事故</w:t>
            </w:r>
          </w:p>
        </w:tc>
        <w:tc>
          <w:tcPr>
            <w:tcW w:w="5425" w:type="dxa"/>
            <w:noWrap w:val="0"/>
            <w:vAlign w:val="center"/>
          </w:tcPr>
          <w:p w14:paraId="4C8CE12D">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（1）食品污染已造成严重健康损害后果的；</w:t>
            </w:r>
          </w:p>
          <w:p w14:paraId="7A70396B">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（2）1起食物中毒事故中人数在99人以下，30人以上且未出现死亡病例的；</w:t>
            </w:r>
          </w:p>
          <w:p w14:paraId="398D8B56">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（3）旗县级以上人民政府认定的其他一般食品安全事故。</w:t>
            </w:r>
          </w:p>
        </w:tc>
        <w:tc>
          <w:tcPr>
            <w:tcW w:w="2000" w:type="dxa"/>
            <w:noWrap w:val="0"/>
            <w:vAlign w:val="center"/>
          </w:tcPr>
          <w:p w14:paraId="25264E84">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旗县（区）级</w:t>
            </w:r>
          </w:p>
          <w:p w14:paraId="3009996D">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人民政府</w:t>
            </w:r>
          </w:p>
          <w:p w14:paraId="11CC5D3C">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启动Ⅳ级响应</w:t>
            </w:r>
          </w:p>
        </w:tc>
      </w:tr>
    </w:tbl>
    <w:p w14:paraId="628A1CA5">
      <w:pPr>
        <w:rPr>
          <w:lang w:val="en-US" w:eastAsia="zh-CN"/>
        </w:rPr>
      </w:pPr>
    </w:p>
    <w:p w14:paraId="2160E296">
      <w:pPr>
        <w:pStyle w:val="2"/>
        <w:rPr>
          <w:lang w:val="en-US" w:eastAsia="zh-CN"/>
        </w:rPr>
      </w:pPr>
    </w:p>
    <w:p w14:paraId="6A33B133">
      <w:pPr>
        <w:pStyle w:val="3"/>
        <w:rPr>
          <w:lang w:val="en-US" w:eastAsia="zh-CN"/>
        </w:rPr>
      </w:pPr>
    </w:p>
    <w:p w14:paraId="3895163A">
      <w:pPr>
        <w:rPr>
          <w:lang w:val="en-US" w:eastAsia="zh-CN"/>
        </w:rPr>
      </w:pPr>
    </w:p>
    <w:p w14:paraId="462F0906">
      <w:pPr>
        <w:pStyle w:val="2"/>
        <w:rPr>
          <w:rFonts w:hint="eastAsia"/>
          <w:lang w:val="en-US" w:eastAsia="zh-CN"/>
        </w:rPr>
      </w:pPr>
      <w:r>
        <w:rPr>
          <w:rFonts w:hint="eastAsia"/>
          <w:lang w:val="en-US" w:eastAsia="zh-CN"/>
        </w:rPr>
        <w:t>附件2</w:t>
      </w:r>
    </w:p>
    <w:p w14:paraId="288908BB">
      <w:pPr>
        <w:pStyle w:val="3"/>
        <w:rPr>
          <w:rFonts w:hint="default"/>
          <w:lang w:val="en-US" w:eastAsia="zh-CN"/>
        </w:rPr>
      </w:pPr>
      <w:r>
        <w:drawing>
          <wp:inline distT="0" distB="0" distL="114300" distR="114300">
            <wp:extent cx="5268595" cy="2842260"/>
            <wp:effectExtent l="0" t="0" r="825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8595" cy="2842260"/>
                    </a:xfrm>
                    <a:prstGeom prst="rect">
                      <a:avLst/>
                    </a:prstGeom>
                    <a:noFill/>
                    <a:ln>
                      <a:noFill/>
                    </a:ln>
                  </pic:spPr>
                </pic:pic>
              </a:graphicData>
            </a:graphic>
          </wp:inline>
        </w:drawing>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2FEA7D-A93F-45C4-8926-CA3F4FED62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493A80-9350-48D2-906B-962AAF975F33}"/>
  </w:font>
  <w:font w:name="方正小标宋简体">
    <w:panose1 w:val="02000000000000000000"/>
    <w:charset w:val="86"/>
    <w:family w:val="auto"/>
    <w:pitch w:val="default"/>
    <w:sig w:usb0="00000001" w:usb1="08000000" w:usb2="00000000" w:usb3="00000000" w:csb0="00040000" w:csb1="00000000"/>
    <w:embedRegular r:id="rId3" w:fontKey="{3EBB8B62-7C1D-4E50-95F3-B1148F3C30AF}"/>
  </w:font>
  <w:font w:name="仿宋_GB2312">
    <w:panose1 w:val="02010609030101010101"/>
    <w:charset w:val="86"/>
    <w:family w:val="modern"/>
    <w:pitch w:val="default"/>
    <w:sig w:usb0="00000001" w:usb1="080E0000" w:usb2="00000000" w:usb3="00000000" w:csb0="00040000" w:csb1="00000000"/>
    <w:embedRegular r:id="rId4" w:fontKey="{3B711748-20A6-4E84-9881-F66265C904B2}"/>
  </w:font>
  <w:font w:name="楷体_GB2312">
    <w:altName w:val="楷体"/>
    <w:panose1 w:val="02010609030101010101"/>
    <w:charset w:val="86"/>
    <w:family w:val="modern"/>
    <w:pitch w:val="default"/>
    <w:sig w:usb0="00000000" w:usb1="00000000" w:usb2="00000000" w:usb3="00000000" w:csb0="00040000" w:csb1="00000000"/>
    <w:embedRegular r:id="rId5" w:fontKey="{A46374AE-607F-4426-AF52-2E15227575D3}"/>
  </w:font>
  <w:font w:name="文泉驿微米黑">
    <w:altName w:val="黑体"/>
    <w:panose1 w:val="020B0606030804020204"/>
    <w:charset w:val="86"/>
    <w:family w:val="auto"/>
    <w:pitch w:val="default"/>
    <w:sig w:usb0="00000000" w:usb1="00000000" w:usb2="00800036" w:usb3="00000000" w:csb0="603E019F" w:csb1="DFD70000"/>
    <w:embedRegular r:id="rId6" w:fontKey="{71A9B817-0532-4C62-AC60-1FCFEFB05D07}"/>
  </w:font>
  <w:font w:name="仿宋">
    <w:panose1 w:val="02010609060101010101"/>
    <w:charset w:val="86"/>
    <w:family w:val="modern"/>
    <w:pitch w:val="default"/>
    <w:sig w:usb0="800002BF" w:usb1="38CF7CFA" w:usb2="00000016" w:usb3="00000000" w:csb0="00040001" w:csb1="00000000"/>
    <w:embedRegular r:id="rId7" w:fontKey="{28E089C0-C83D-40BD-AE27-D2B6EA098D93}"/>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F75E">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第2期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MjFjNWExNTUyMTIyMDM0MDc0MjlhOGY1NWI2Y2YifQ=="/>
  </w:docVars>
  <w:rsids>
    <w:rsidRoot w:val="00000000"/>
    <w:rsid w:val="20611C23"/>
    <w:rsid w:val="236C43ED"/>
    <w:rsid w:val="42EF602F"/>
    <w:rsid w:val="529F026C"/>
    <w:rsid w:val="58C824F6"/>
    <w:rsid w:val="5AF86AF9"/>
    <w:rsid w:val="6C9A6BC2"/>
    <w:rsid w:val="6CEA5011"/>
    <w:rsid w:val="7FE5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294</Words>
  <Characters>314</Characters>
  <Lines>0</Lines>
  <Paragraphs>0</Paragraphs>
  <TotalTime>0</TotalTime>
  <ScaleCrop>false</ScaleCrop>
  <LinksUpToDate>false</LinksUpToDate>
  <CharactersWithSpaces>314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2024-11-05T02:22:00Z</dcterms:created>
  <dc:creator>QWE</dc:creator>
  <cp:lastModifiedBy>演示人</cp:lastModifiedBy>
  <dcterms:modified xsi:type="dcterms:W3CDTF">2024-11-06T02:18:12Z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EE18075B235645D1A58AF60DF7F91AC8_12</vt:lpwstr>
  </property>
</Properties>
</file>