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57BA8">
      <w:pPr>
        <w:pStyle w:val="8"/>
        <w:spacing w:line="560" w:lineRule="exact"/>
        <w:jc w:val="both"/>
        <w:rPr>
          <w:rFonts w:ascii="Times New Roman" w:hAnsi="Times New Roman" w:cs="Times New Roman"/>
          <w:color w:val="auto"/>
        </w:rPr>
      </w:pPr>
    </w:p>
    <w:p w14:paraId="40558BE9">
      <w:pPr>
        <w:pStyle w:val="8"/>
        <w:spacing w:line="560" w:lineRule="exact"/>
        <w:jc w:val="both"/>
        <w:rPr>
          <w:rFonts w:ascii="Times New Roman" w:hAnsi="Times New Roman" w:cs="Times New Roman"/>
          <w:color w:val="auto"/>
        </w:rPr>
      </w:pPr>
    </w:p>
    <w:p w14:paraId="2CE5461C">
      <w:pPr>
        <w:spacing w:line="360" w:lineRule="auto"/>
        <w:jc w:val="center"/>
        <w:rPr>
          <w:rFonts w:ascii="Times New Roman" w:hAnsi="Times New Roman" w:eastAsia="黑体" w:cs="Times New Roman"/>
          <w:b/>
          <w:spacing w:val="-6"/>
          <w:sz w:val="44"/>
          <w:szCs w:val="44"/>
          <w:lang w:eastAsia="zh-CN"/>
        </w:rPr>
      </w:pPr>
      <w:r>
        <w:rPr>
          <w:rFonts w:hint="eastAsia" w:ascii="仿宋_GB2312" w:hAnsi="仿宋_GB2312" w:eastAsia="仿宋_GB2312" w:cs="宋体"/>
          <w:b/>
          <w:bCs/>
          <w:spacing w:val="-6"/>
          <w:sz w:val="44"/>
          <w:szCs w:val="44"/>
          <w:lang w:eastAsia="zh-CN"/>
        </w:rPr>
        <w:t>翁牛特旗国家生态文明建设示范旗创建规划</w:t>
      </w:r>
    </w:p>
    <w:p w14:paraId="72BF5931">
      <w:pPr>
        <w:spacing w:line="360" w:lineRule="auto"/>
        <w:jc w:val="center"/>
        <w:rPr>
          <w:rFonts w:ascii="Times New Roman" w:hAnsi="Times New Roman" w:eastAsia="黑体" w:cs="Times New Roman"/>
          <w:b/>
          <w:sz w:val="44"/>
          <w:szCs w:val="44"/>
          <w:lang w:eastAsia="zh-CN"/>
        </w:rPr>
      </w:pPr>
      <w:bookmarkStart w:id="0" w:name="_Toc167981931"/>
      <w:bookmarkStart w:id="1" w:name="_Toc176943076"/>
      <w:r>
        <w:rPr>
          <w:rFonts w:ascii="Times New Roman" w:hAnsi="Times New Roman" w:eastAsia="黑体" w:cs="Times New Roman"/>
          <w:b/>
          <w:spacing w:val="-3"/>
          <w:sz w:val="44"/>
          <w:szCs w:val="44"/>
          <w:lang w:eastAsia="zh-CN"/>
        </w:rPr>
        <w:t>（2024-2030 年）</w:t>
      </w:r>
      <w:bookmarkEnd w:id="0"/>
      <w:bookmarkEnd w:id="1"/>
    </w:p>
    <w:p w14:paraId="31CD8F68">
      <w:pPr>
        <w:spacing w:line="360" w:lineRule="auto"/>
        <w:jc w:val="center"/>
        <w:rPr>
          <w:rFonts w:ascii="Times New Roman" w:hAnsi="Times New Roman" w:eastAsia="黑体" w:cs="Times New Roman"/>
          <w:b/>
          <w:spacing w:val="-2"/>
          <w:sz w:val="36"/>
          <w:szCs w:val="36"/>
          <w:lang w:eastAsia="zh-CN"/>
        </w:rPr>
      </w:pPr>
      <w:bookmarkStart w:id="2" w:name="_Toc167981932"/>
      <w:bookmarkStart w:id="3" w:name="_Toc176943077"/>
      <w:r>
        <w:rPr>
          <w:rFonts w:ascii="Times New Roman" w:hAnsi="Times New Roman" w:eastAsia="黑体" w:cs="Times New Roman"/>
          <w:b/>
          <w:spacing w:val="-2"/>
          <w:sz w:val="36"/>
          <w:szCs w:val="36"/>
          <w:lang w:eastAsia="zh-CN"/>
        </w:rPr>
        <w:t>文本</w:t>
      </w:r>
      <w:bookmarkEnd w:id="2"/>
      <w:bookmarkEnd w:id="3"/>
    </w:p>
    <w:p w14:paraId="47AE28CC">
      <w:pPr>
        <w:spacing w:line="360" w:lineRule="auto"/>
        <w:jc w:val="center"/>
        <w:rPr>
          <w:rFonts w:ascii="Times New Roman" w:hAnsi="Times New Roman" w:eastAsia="黑体" w:cs="Times New Roman"/>
          <w:b/>
          <w:sz w:val="44"/>
          <w:szCs w:val="44"/>
          <w:lang w:eastAsia="zh-CN"/>
        </w:rPr>
      </w:pPr>
    </w:p>
    <w:p w14:paraId="3B24BCD9">
      <w:pPr>
        <w:pStyle w:val="8"/>
        <w:jc w:val="both"/>
        <w:rPr>
          <w:rFonts w:ascii="Times New Roman" w:hAnsi="Times New Roman" w:cs="Times New Roman"/>
          <w:color w:val="auto"/>
          <w:lang w:eastAsia="zh-CN"/>
        </w:rPr>
      </w:pPr>
      <w:r>
        <w:rPr>
          <w:rFonts w:ascii="Times New Roman" w:hAnsi="Times New Roman" w:eastAsia="宋体" w:cs="Times New Roman"/>
          <w:sz w:val="48"/>
          <w:szCs w:val="48"/>
        </w:rPr>
        <w:drawing>
          <wp:inline distT="0" distB="0" distL="0" distR="0">
            <wp:extent cx="5274945" cy="2988310"/>
            <wp:effectExtent l="0" t="0" r="1905" b="2540"/>
            <wp:docPr id="23" name="图片 23" descr="G:\WeChat Files\zhangjing3404\FileStorage\Temp\108984d81133e6ae91466491d57ba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G:\WeChat Files\zhangjing3404\FileStorage\Temp\108984d81133e6ae91466491d57ba6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945" cy="2988503"/>
                    </a:xfrm>
                    <a:prstGeom prst="rect">
                      <a:avLst/>
                    </a:prstGeom>
                    <a:noFill/>
                    <a:ln>
                      <a:noFill/>
                    </a:ln>
                  </pic:spPr>
                </pic:pic>
              </a:graphicData>
            </a:graphic>
          </wp:inline>
        </w:drawing>
      </w:r>
    </w:p>
    <w:p w14:paraId="0B6DA488">
      <w:pPr>
        <w:pStyle w:val="8"/>
        <w:tabs>
          <w:tab w:val="left" w:pos="4785"/>
        </w:tabs>
        <w:spacing w:line="560" w:lineRule="exact"/>
        <w:jc w:val="both"/>
        <w:rPr>
          <w:rFonts w:ascii="Times New Roman" w:hAnsi="Times New Roman" w:cs="Times New Roman" w:eastAsiaTheme="minorEastAsia"/>
          <w:color w:val="auto"/>
          <w:lang w:eastAsia="zh-CN"/>
        </w:rPr>
      </w:pPr>
    </w:p>
    <w:p w14:paraId="084DA4C4">
      <w:pPr>
        <w:pStyle w:val="8"/>
        <w:tabs>
          <w:tab w:val="left" w:pos="4785"/>
        </w:tabs>
        <w:spacing w:line="560" w:lineRule="exact"/>
        <w:jc w:val="both"/>
        <w:rPr>
          <w:rFonts w:ascii="Times New Roman" w:hAnsi="Times New Roman" w:cs="Times New Roman" w:eastAsiaTheme="minorEastAsia"/>
          <w:color w:val="auto"/>
          <w:lang w:eastAsia="zh-CN"/>
        </w:rPr>
      </w:pPr>
    </w:p>
    <w:p w14:paraId="25B69EE3">
      <w:pPr>
        <w:spacing w:line="560" w:lineRule="exact"/>
        <w:jc w:val="center"/>
        <w:rPr>
          <w:rFonts w:ascii="Times New Roman" w:hAnsi="Times New Roman" w:eastAsia="华文中宋" w:cs="Times New Roman"/>
          <w:b/>
          <w:bCs/>
          <w:color w:val="auto"/>
          <w:spacing w:val="2"/>
          <w:sz w:val="36"/>
          <w:szCs w:val="36"/>
          <w:lang w:eastAsia="zh-CN"/>
        </w:rPr>
      </w:pPr>
      <w:r>
        <w:rPr>
          <w:rFonts w:hint="eastAsia" w:ascii="Times New Roman" w:hAnsi="Times New Roman" w:eastAsia="华文中宋" w:cs="Times New Roman"/>
          <w:b/>
          <w:bCs/>
          <w:color w:val="auto"/>
          <w:spacing w:val="2"/>
          <w:sz w:val="36"/>
          <w:szCs w:val="36"/>
          <w:lang w:eastAsia="zh"/>
        </w:rPr>
        <w:t>翁牛特旗人民政府</w:t>
      </w:r>
    </w:p>
    <w:p w14:paraId="69FA4055">
      <w:pPr>
        <w:spacing w:line="560" w:lineRule="exact"/>
        <w:jc w:val="center"/>
        <w:rPr>
          <w:rFonts w:ascii="Times New Roman" w:hAnsi="Times New Roman" w:eastAsia="华文中宋" w:cs="Times New Roman"/>
          <w:b/>
          <w:bCs/>
          <w:color w:val="auto"/>
          <w:spacing w:val="2"/>
          <w:sz w:val="36"/>
          <w:szCs w:val="36"/>
          <w:lang w:eastAsia="zh-CN"/>
        </w:rPr>
      </w:pPr>
    </w:p>
    <w:p w14:paraId="4082DCDD">
      <w:pPr>
        <w:spacing w:line="560" w:lineRule="exact"/>
        <w:jc w:val="center"/>
        <w:rPr>
          <w:rFonts w:ascii="Times New Roman" w:hAnsi="Times New Roman" w:eastAsia="华文中宋" w:cs="Times New Roman"/>
          <w:b/>
          <w:bCs/>
          <w:color w:val="auto"/>
          <w:spacing w:val="2"/>
          <w:sz w:val="36"/>
          <w:szCs w:val="36"/>
          <w:lang w:eastAsia="zh-CN"/>
        </w:rPr>
        <w:sectPr>
          <w:type w:val="nextColumn"/>
          <w:pgSz w:w="11907" w:h="16839"/>
          <w:pgMar w:top="1440" w:right="1797" w:bottom="1440" w:left="1797" w:header="0" w:footer="0" w:gutter="0"/>
          <w:cols w:space="720" w:num="1"/>
          <w:docGrid w:linePitch="286" w:charSpace="0"/>
        </w:sectPr>
      </w:pPr>
      <w:r>
        <w:rPr>
          <w:rFonts w:ascii="Times New Roman" w:hAnsi="Times New Roman" w:eastAsia="华文中宋" w:cs="Times New Roman"/>
          <w:b/>
          <w:bCs/>
          <w:color w:val="auto"/>
          <w:spacing w:val="2"/>
          <w:sz w:val="36"/>
          <w:szCs w:val="36"/>
          <w:lang w:eastAsia="zh-CN"/>
        </w:rPr>
        <w:t>二〇二</w:t>
      </w:r>
      <w:r>
        <w:rPr>
          <w:rFonts w:hint="eastAsia" w:ascii="Times New Roman" w:hAnsi="Times New Roman" w:eastAsia="华文中宋" w:cs="Times New Roman"/>
          <w:b/>
          <w:bCs/>
          <w:color w:val="auto"/>
          <w:spacing w:val="2"/>
          <w:sz w:val="36"/>
          <w:szCs w:val="36"/>
          <w:lang w:eastAsia="zh"/>
        </w:rPr>
        <w:t>五</w:t>
      </w:r>
      <w:r>
        <w:rPr>
          <w:rFonts w:ascii="Times New Roman" w:hAnsi="Times New Roman" w:eastAsia="华文中宋" w:cs="Times New Roman"/>
          <w:b/>
          <w:bCs/>
          <w:color w:val="auto"/>
          <w:spacing w:val="2"/>
          <w:sz w:val="36"/>
          <w:szCs w:val="36"/>
          <w:lang w:eastAsia="zh-CN"/>
        </w:rPr>
        <w:t>年</w:t>
      </w:r>
      <w:r>
        <w:rPr>
          <w:rFonts w:hint="eastAsia" w:ascii="Times New Roman" w:hAnsi="Times New Roman" w:eastAsia="华文中宋" w:cs="Times New Roman"/>
          <w:b/>
          <w:bCs/>
          <w:color w:val="auto"/>
          <w:spacing w:val="2"/>
          <w:sz w:val="36"/>
          <w:szCs w:val="36"/>
          <w:lang w:eastAsia="zh-CN"/>
        </w:rPr>
        <w:t>三</w:t>
      </w:r>
      <w:r>
        <w:rPr>
          <w:rFonts w:ascii="Times New Roman" w:hAnsi="Times New Roman" w:eastAsia="华文中宋" w:cs="Times New Roman"/>
          <w:b/>
          <w:bCs/>
          <w:color w:val="auto"/>
          <w:spacing w:val="2"/>
          <w:sz w:val="36"/>
          <w:szCs w:val="36"/>
          <w:lang w:eastAsia="zh-CN"/>
        </w:rPr>
        <w:t>月</w:t>
      </w:r>
    </w:p>
    <w:p w14:paraId="133F4583">
      <w:pPr>
        <w:spacing w:line="420" w:lineRule="auto"/>
        <w:jc w:val="center"/>
        <w:rPr>
          <w:rFonts w:ascii="Times New Roman" w:hAnsi="Times New Roman" w:eastAsia="黑体" w:cs="Times New Roman"/>
          <w:color w:val="auto"/>
          <w:sz w:val="36"/>
          <w:szCs w:val="36"/>
          <w:lang w:eastAsia="zh-CN"/>
        </w:rPr>
      </w:pPr>
      <w:bookmarkStart w:id="4" w:name="bookmark2"/>
      <w:bookmarkEnd w:id="4"/>
      <w:r>
        <w:rPr>
          <w:rFonts w:ascii="Times New Roman" w:hAnsi="Times New Roman" w:eastAsia="黑体" w:cs="Times New Roman"/>
          <w:b/>
          <w:bCs/>
          <w:color w:val="auto"/>
          <w:spacing w:val="-11"/>
          <w:sz w:val="36"/>
          <w:szCs w:val="36"/>
          <w:lang w:eastAsia="zh-CN"/>
        </w:rPr>
        <w:t>前</w:t>
      </w:r>
      <w:r>
        <w:rPr>
          <w:rFonts w:ascii="Times New Roman" w:hAnsi="Times New Roman" w:eastAsia="黑体" w:cs="Times New Roman"/>
          <w:color w:val="auto"/>
          <w:spacing w:val="16"/>
          <w:sz w:val="36"/>
          <w:szCs w:val="36"/>
          <w:lang w:eastAsia="zh-CN"/>
        </w:rPr>
        <w:t xml:space="preserve">  </w:t>
      </w:r>
      <w:r>
        <w:rPr>
          <w:rFonts w:ascii="Times New Roman" w:hAnsi="Times New Roman" w:eastAsia="黑体" w:cs="Times New Roman"/>
          <w:b/>
          <w:bCs/>
          <w:color w:val="auto"/>
          <w:spacing w:val="-11"/>
          <w:sz w:val="36"/>
          <w:szCs w:val="36"/>
          <w:lang w:eastAsia="zh-CN"/>
        </w:rPr>
        <w:t>言</w:t>
      </w:r>
    </w:p>
    <w:p w14:paraId="09DF3109">
      <w:pPr>
        <w:pStyle w:val="8"/>
        <w:spacing w:line="560" w:lineRule="exact"/>
        <w:ind w:firstLine="560" w:firstLineChars="200"/>
        <w:jc w:val="both"/>
        <w:rPr>
          <w:rFonts w:ascii="Times New Roman" w:hAnsi="Times New Roman" w:eastAsia="仿宋" w:cs="Times New Roman"/>
          <w:snapToGrid/>
          <w:sz w:val="28"/>
          <w:szCs w:val="28"/>
          <w:lang w:eastAsia="zh-CN"/>
        </w:rPr>
      </w:pPr>
      <w:bookmarkStart w:id="5" w:name="OLE_LINK186"/>
      <w:bookmarkStart w:id="6" w:name="OLE_LINK185"/>
      <w:bookmarkStart w:id="7" w:name="_Hlk155881090"/>
      <w:bookmarkStart w:id="8" w:name="OLE_LINK184"/>
      <w:r>
        <w:rPr>
          <w:rFonts w:ascii="Times New Roman" w:hAnsi="Times New Roman" w:eastAsia="仿宋" w:cs="Times New Roman"/>
          <w:sz w:val="28"/>
          <w:szCs w:val="28"/>
          <w:lang w:eastAsia="zh-CN"/>
        </w:rPr>
        <w:t>中央、国务院高度重视生态文明建设。党的十八大将生态文明 建设作为党的执政理念和基本国策，将其纳入中国特色社会主义事业 “五位一体”总体布局。党的十九大将建设生态文明提升为“千年大计”，并将“美丽”纳入国家现代化战略目标中，勾画了美丽中国的路线图。党的十九届五中全会明确提出二〇三五年“美丽中国建设目标基本实现”的远景目标和“十四五”时期“生态文明建设实现新进步”的新目标新任务。十九届六中全会肯定了十八大以来生态文明建设的成就，并提出“立足新发展阶段、贯彻新发展理念、构建新发展格局、推动高质量发展，坚持在发展中保障和改善民生，坚持人与自然和谐共生，协同推进人民富裕、中国美丽”的战略方针。</w:t>
      </w:r>
    </w:p>
    <w:p w14:paraId="5268DBEB">
      <w:pPr>
        <w:pStyle w:val="8"/>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生态环境部以国家生态文明建设示范市县创建为载体，持续推进生态文明建设，目前已命名了7批572个国家生态文明建设示范市县。内蒙古自治区积极响应生态文明示范创建，目前已成功创建了阿尔山市、</w:t>
      </w:r>
      <w:bookmarkStart w:id="9" w:name="OLE_LINK174"/>
      <w:bookmarkStart w:id="10" w:name="OLE_LINK173"/>
      <w:r>
        <w:rPr>
          <w:rFonts w:ascii="Times New Roman" w:hAnsi="Times New Roman" w:eastAsia="仿宋" w:cs="Times New Roman"/>
          <w:sz w:val="28"/>
          <w:szCs w:val="28"/>
          <w:lang w:eastAsia="zh-CN"/>
        </w:rPr>
        <w:t>鄂尔多斯市</w:t>
      </w:r>
      <w:bookmarkEnd w:id="9"/>
      <w:bookmarkEnd w:id="10"/>
      <w:r>
        <w:rPr>
          <w:rFonts w:ascii="Times New Roman" w:hAnsi="Times New Roman" w:eastAsia="仿宋" w:cs="Times New Roman"/>
          <w:sz w:val="28"/>
          <w:szCs w:val="28"/>
          <w:lang w:eastAsia="zh-CN"/>
        </w:rPr>
        <w:t>康巴什区、根河市、乌兰浩特市、兴安盟、呼和浩特市新城区、鄂托克前旗、</w:t>
      </w:r>
      <w:bookmarkStart w:id="11" w:name="OLE_LINK1"/>
      <w:bookmarkStart w:id="12" w:name="OLE_LINK2"/>
      <w:r>
        <w:rPr>
          <w:rFonts w:ascii="Times New Roman" w:hAnsi="Times New Roman" w:eastAsia="仿宋" w:cs="Times New Roman"/>
          <w:sz w:val="28"/>
          <w:szCs w:val="28"/>
          <w:lang w:eastAsia="zh-CN"/>
        </w:rPr>
        <w:t>达尔罕茂明安联合旗、呼和浩特市、</w:t>
      </w:r>
      <w:bookmarkStart w:id="13" w:name="OLE_LINK176"/>
      <w:bookmarkStart w:id="14" w:name="OLE_LINK175"/>
      <w:r>
        <w:rPr>
          <w:rFonts w:ascii="Times New Roman" w:hAnsi="Times New Roman" w:eastAsia="仿宋" w:cs="Times New Roman"/>
          <w:sz w:val="28"/>
          <w:szCs w:val="28"/>
          <w:lang w:eastAsia="zh-CN"/>
        </w:rPr>
        <w:t>锡林郭勒盟</w:t>
      </w:r>
      <w:bookmarkEnd w:id="13"/>
      <w:bookmarkEnd w:id="14"/>
      <w:r>
        <w:rPr>
          <w:rFonts w:ascii="Times New Roman" w:hAnsi="Times New Roman" w:eastAsia="仿宋" w:cs="Times New Roman"/>
          <w:sz w:val="28"/>
          <w:szCs w:val="28"/>
          <w:lang w:eastAsia="zh-CN"/>
        </w:rPr>
        <w:t>、鄂尔多斯市、锡林郭勒盟二连浩特市、锡林郭勒盟东乌珠穆沁旗13个</w:t>
      </w:r>
      <w:bookmarkStart w:id="15" w:name="OLE_LINK178"/>
      <w:bookmarkStart w:id="16" w:name="OLE_LINK177"/>
      <w:r>
        <w:rPr>
          <w:rFonts w:ascii="Times New Roman" w:hAnsi="Times New Roman" w:eastAsia="仿宋" w:cs="Times New Roman"/>
          <w:sz w:val="28"/>
          <w:szCs w:val="28"/>
          <w:lang w:eastAsia="zh-CN"/>
        </w:rPr>
        <w:t>国家生态文明建设示范</w:t>
      </w:r>
      <w:bookmarkEnd w:id="15"/>
      <w:bookmarkEnd w:id="16"/>
      <w:r>
        <w:rPr>
          <w:rFonts w:ascii="Times New Roman" w:hAnsi="Times New Roman" w:eastAsia="仿宋" w:cs="Times New Roman"/>
          <w:sz w:val="28"/>
          <w:szCs w:val="28"/>
          <w:lang w:eastAsia="zh-CN"/>
        </w:rPr>
        <w:t>市县。</w:t>
      </w:r>
    </w:p>
    <w:bookmarkEnd w:id="11"/>
    <w:bookmarkEnd w:id="12"/>
    <w:p w14:paraId="1BC9A250">
      <w:pPr>
        <w:pStyle w:val="8"/>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赤峰市位于内蒙古东南部，蒙冀辽三省区交汇处。特定的大地构造环境、复杂的发展演化过程及气候变迁造就了赤峰雄奇俊美、千姿百态的地理奇观。境内地貌类型丰富：山地、丘陵、草原、森林、河流、湖泊、熔岩台地和沙丘坨甸在境内均有分布。自古以来就是草木繁茂、山野葱茏、河流纵横、湖泊棋布之地。是京津、辽沈地区重要的生态屏障。</w:t>
      </w:r>
      <w:bookmarkStart w:id="17" w:name="_Hlk167979212"/>
      <w:r>
        <w:rPr>
          <w:rFonts w:ascii="Times New Roman" w:hAnsi="Times New Roman" w:eastAsia="仿宋" w:cs="Times New Roman"/>
          <w:sz w:val="28"/>
          <w:szCs w:val="28"/>
          <w:lang w:eastAsia="zh-CN"/>
        </w:rPr>
        <w:t>赤峰市尚无旗县区获得国家生态文明建设示范区荣誉。翁牛特旗位于赤峰市的中部地区，享有“龙凤之乡”的美誉，境内集草原、沙漠、湖泊、奇山、怪石、松林、响沙于一体，有浩瀚无垠的戈壁沙漠，绵延起伏的低山丘陵，富饶美丽的高山草原，溪水清澈的平畴沃野，内蒙古面积最大的人工水库红山湖和世界成林面积最大的文冠果基地坐落于此，素有“瀚海明珠”“塞外水乡”之称</w:t>
      </w:r>
      <w:bookmarkEnd w:id="17"/>
      <w:r>
        <w:rPr>
          <w:rFonts w:ascii="Times New Roman" w:hAnsi="Times New Roman" w:eastAsia="仿宋" w:cs="Times New Roman"/>
          <w:sz w:val="28"/>
          <w:szCs w:val="28"/>
          <w:lang w:eastAsia="zh-CN"/>
        </w:rPr>
        <w:t>。赤峰市属于北方防沙带浑善达克沙漠国家重点生态功能区，是</w:t>
      </w:r>
      <w:bookmarkStart w:id="18" w:name="OLE_LINK23"/>
      <w:bookmarkStart w:id="19" w:name="OLE_LINK24"/>
      <w:r>
        <w:rPr>
          <w:rFonts w:ascii="Times New Roman" w:hAnsi="Times New Roman" w:eastAsia="仿宋" w:cs="Times New Roman"/>
          <w:sz w:val="28"/>
          <w:szCs w:val="28"/>
          <w:lang w:eastAsia="zh-CN"/>
        </w:rPr>
        <w:t>内蒙古东部草原沙地综合治理的</w:t>
      </w:r>
      <w:bookmarkEnd w:id="18"/>
      <w:bookmarkEnd w:id="19"/>
      <w:r>
        <w:rPr>
          <w:rFonts w:ascii="Times New Roman" w:hAnsi="Times New Roman" w:eastAsia="仿宋" w:cs="Times New Roman"/>
          <w:sz w:val="28"/>
          <w:szCs w:val="28"/>
          <w:lang w:eastAsia="zh-CN"/>
        </w:rPr>
        <w:t>主战场。而翁牛特旗即为</w:t>
      </w:r>
      <w:bookmarkStart w:id="20" w:name="OLE_LINK28"/>
      <w:bookmarkStart w:id="21" w:name="OLE_LINK29"/>
      <w:bookmarkStart w:id="22" w:name="OLE_LINK39"/>
      <w:bookmarkStart w:id="23" w:name="OLE_LINK40"/>
      <w:r>
        <w:rPr>
          <w:rFonts w:ascii="Times New Roman" w:hAnsi="Times New Roman" w:eastAsia="仿宋" w:cs="Times New Roman"/>
          <w:sz w:val="28"/>
          <w:szCs w:val="28"/>
          <w:lang w:eastAsia="zh-CN"/>
        </w:rPr>
        <w:t>赤峰市</w:t>
      </w:r>
      <w:bookmarkStart w:id="24" w:name="OLE_LINK27"/>
      <w:r>
        <w:rPr>
          <w:rFonts w:ascii="Times New Roman" w:hAnsi="Times New Roman" w:eastAsia="仿宋" w:cs="Times New Roman"/>
          <w:sz w:val="28"/>
          <w:szCs w:val="28"/>
          <w:lang w:eastAsia="zh-CN"/>
        </w:rPr>
        <w:t>内蒙古东部草原沙地综合治理</w:t>
      </w:r>
      <w:bookmarkEnd w:id="20"/>
      <w:bookmarkEnd w:id="21"/>
      <w:bookmarkEnd w:id="24"/>
      <w:r>
        <w:rPr>
          <w:rFonts w:ascii="Times New Roman" w:hAnsi="Times New Roman" w:eastAsia="仿宋" w:cs="Times New Roman"/>
          <w:sz w:val="28"/>
          <w:szCs w:val="28"/>
          <w:lang w:eastAsia="zh-CN"/>
        </w:rPr>
        <w:t>的主阵地</w:t>
      </w:r>
      <w:bookmarkEnd w:id="22"/>
      <w:bookmarkEnd w:id="23"/>
      <w:r>
        <w:rPr>
          <w:rFonts w:ascii="Times New Roman" w:hAnsi="Times New Roman" w:eastAsia="仿宋" w:cs="Times New Roman"/>
          <w:sz w:val="28"/>
          <w:szCs w:val="28"/>
          <w:lang w:eastAsia="zh-CN"/>
        </w:rPr>
        <w:t>，2023年已完成赤峰市内蒙古东部草原沙地综合治理一期工程建设。</w:t>
      </w:r>
    </w:p>
    <w:p w14:paraId="5DCE7821">
      <w:pPr>
        <w:pStyle w:val="20"/>
        <w:widowControl w:val="0"/>
        <w:spacing w:line="560" w:lineRule="exact"/>
        <w:ind w:firstLine="560" w:firstLineChars="200"/>
        <w:jc w:val="both"/>
        <w:rPr>
          <w:rFonts w:ascii="Times New Roman" w:hAnsi="Times New Roman" w:eastAsia="仿宋" w:cs="Times New Roman"/>
          <w:color w:val="auto"/>
          <w:sz w:val="28"/>
          <w:szCs w:val="28"/>
          <w:lang w:eastAsia="zh-CN" w:bidi="ar"/>
        </w:rPr>
        <w:sectPr>
          <w:headerReference r:id="rId3" w:type="default"/>
          <w:pgSz w:w="11910" w:h="16840"/>
          <w:pgMar w:top="1440" w:right="1797" w:bottom="1440" w:left="1797" w:header="1020" w:footer="1020" w:gutter="0"/>
          <w:pgNumType w:start="1"/>
          <w:cols w:space="720" w:num="1"/>
          <w:docGrid w:linePitch="286" w:charSpace="0"/>
        </w:sectPr>
      </w:pPr>
      <w:r>
        <w:rPr>
          <w:rFonts w:ascii="Times New Roman" w:hAnsi="Times New Roman" w:eastAsia="仿宋" w:cs="Times New Roman"/>
          <w:sz w:val="28"/>
          <w:szCs w:val="28"/>
          <w:lang w:eastAsia="zh-CN"/>
        </w:rPr>
        <w:t>翁牛特旗作为赤峰市内蒙古东部草原沙地综合治理的主阵地、内蒙古生态安全屏障建设的重要组成部分，结合翁牛特旗现有及规划的产业结构模式，打造新能源基地、农畜产品加工基地的同时，</w:t>
      </w:r>
      <w:bookmarkStart w:id="25" w:name="OLE_LINK41"/>
      <w:bookmarkStart w:id="26" w:name="OLE_LINK42"/>
      <w:r>
        <w:rPr>
          <w:rFonts w:ascii="Times New Roman" w:hAnsi="Times New Roman" w:eastAsia="仿宋" w:cs="Times New Roman"/>
          <w:sz w:val="28"/>
          <w:szCs w:val="28"/>
          <w:lang w:eastAsia="zh-CN"/>
        </w:rPr>
        <w:t>坚持“绿色发展”、坚持走新型牧区工业化发展道路</w:t>
      </w:r>
      <w:bookmarkEnd w:id="25"/>
      <w:bookmarkEnd w:id="26"/>
      <w:r>
        <w:rPr>
          <w:rFonts w:ascii="Times New Roman" w:hAnsi="Times New Roman" w:eastAsia="仿宋" w:cs="Times New Roman"/>
          <w:sz w:val="28"/>
          <w:szCs w:val="28"/>
          <w:lang w:eastAsia="zh-CN"/>
        </w:rPr>
        <w:t>，全面协调发展与保护任务尤为艰巨。在全面建成小康社会的攻坚期，翁牛特旗委旗政府在历史发展的关键节点，立足优势、把握机遇，适时提出创建国家生态文明建设示范旗，是贯彻落实习近平生态文明思想的正确选择，具有前瞻性和重要的战略意义</w:t>
      </w:r>
      <w:bookmarkEnd w:id="5"/>
      <w:bookmarkEnd w:id="6"/>
      <w:r>
        <w:rPr>
          <w:rFonts w:ascii="Times New Roman" w:hAnsi="Times New Roman" w:eastAsia="仿宋" w:cs="Times New Roman"/>
          <w:sz w:val="28"/>
          <w:szCs w:val="28"/>
          <w:lang w:eastAsia="zh-CN"/>
        </w:rPr>
        <w:t>。</w:t>
      </w:r>
      <w:bookmarkEnd w:id="7"/>
      <w:bookmarkEnd w:id="8"/>
    </w:p>
    <w:sdt>
      <w:sdtPr>
        <w:rPr>
          <w:rFonts w:ascii="Times New Roman" w:hAnsi="Times New Roman" w:eastAsia="Arial" w:cs="Times New Roman"/>
          <w:snapToGrid w:val="0"/>
          <w:color w:val="000000"/>
          <w:sz w:val="21"/>
          <w:szCs w:val="21"/>
          <w:lang w:val="zh-CN" w:eastAsia="en-US"/>
        </w:rPr>
        <w:id w:val="-356041045"/>
        <w:docPartObj>
          <w:docPartGallery w:val="Table of Contents"/>
          <w:docPartUnique/>
        </w:docPartObj>
      </w:sdtPr>
      <w:sdtEndPr>
        <w:rPr>
          <w:rFonts w:ascii="Times New Roman" w:hAnsi="Times New Roman" w:eastAsia="Arial" w:cs="Times New Roman"/>
          <w:bCs/>
          <w:snapToGrid w:val="0"/>
          <w:color w:val="000000"/>
          <w:sz w:val="21"/>
          <w:szCs w:val="21"/>
          <w:lang w:val="zh-CN" w:eastAsia="en-US"/>
        </w:rPr>
      </w:sdtEndPr>
      <w:sdtContent>
        <w:p w14:paraId="073CA828">
          <w:pPr>
            <w:pStyle w:val="39"/>
            <w:adjustRightInd w:val="0"/>
            <w:snapToGrid w:val="0"/>
            <w:spacing w:before="0" w:line="360" w:lineRule="auto"/>
            <w:jc w:val="center"/>
            <w:rPr>
              <w:rFonts w:ascii="Times New Roman" w:hAnsi="Times New Roman" w:eastAsia="仿宋" w:cs="Times New Roman"/>
              <w:sz w:val="28"/>
              <w:szCs w:val="28"/>
            </w:rPr>
          </w:pPr>
          <w:r>
            <w:rPr>
              <w:rFonts w:ascii="Times New Roman" w:hAnsi="Times New Roman" w:cs="Times New Roman"/>
              <w:b/>
              <w:color w:val="auto"/>
              <w:sz w:val="36"/>
              <w:szCs w:val="36"/>
              <w:lang w:val="zh-CN"/>
            </w:rPr>
            <w:t>目  录</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TOC \o "1-3" \h \z \u </w:instrText>
          </w:r>
          <w:r>
            <w:rPr>
              <w:rFonts w:ascii="Times New Roman" w:hAnsi="Times New Roman" w:eastAsia="仿宋" w:cs="Times New Roman"/>
              <w:sz w:val="28"/>
              <w:szCs w:val="28"/>
            </w:rPr>
            <w:fldChar w:fldCharType="separate"/>
          </w:r>
        </w:p>
        <w:p w14:paraId="3D0BC82C">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"_Toc183187217" </w:instrText>
          </w:r>
          <w:r>
            <w:fldChar w:fldCharType="separate"/>
          </w:r>
          <w:r>
            <w:rPr>
              <w:rStyle w:val="24"/>
              <w:rFonts w:ascii="Times New Roman" w:hAnsi="Times New Roman" w:eastAsia="仿宋" w:cs="Times New Roman"/>
              <w:sz w:val="28"/>
              <w:szCs w:val="28"/>
            </w:rPr>
            <w:t>第一章 创建基础与面临形势</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_Toc183187217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80B0EF4">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"_Toc183187218" </w:instrText>
          </w:r>
          <w:r>
            <w:fldChar w:fldCharType="separate"/>
          </w:r>
          <w:r>
            <w:rPr>
              <w:rStyle w:val="24"/>
              <w:rFonts w:ascii="Times New Roman" w:hAnsi="Times New Roman" w:eastAsia="仿宋" w:cs="Times New Roman"/>
              <w:sz w:val="28"/>
              <w:szCs w:val="28"/>
              <w:lang w:eastAsia="zh-CN"/>
            </w:rPr>
            <w:t>一、创建基础</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_Toc183187218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B495C1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"_Toc183187219" </w:instrText>
          </w:r>
          <w:r>
            <w:fldChar w:fldCharType="separate"/>
          </w:r>
          <w:r>
            <w:rPr>
              <w:rStyle w:val="24"/>
              <w:rFonts w:ascii="Times New Roman" w:hAnsi="Times New Roman" w:eastAsia="仿宋" w:cs="Times New Roman"/>
              <w:sz w:val="28"/>
              <w:szCs w:val="28"/>
              <w:lang w:eastAsia="zh-CN"/>
            </w:rPr>
            <w:t>（一）生态区位极为重要</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_Toc183187219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85DBF35">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"_Toc183187220" </w:instrText>
          </w:r>
          <w:r>
            <w:fldChar w:fldCharType="separate"/>
          </w:r>
          <w:r>
            <w:rPr>
              <w:rStyle w:val="24"/>
              <w:rFonts w:ascii="Times New Roman" w:hAnsi="Times New Roman" w:eastAsia="仿宋" w:cs="Times New Roman"/>
              <w:sz w:val="28"/>
              <w:szCs w:val="28"/>
              <w:lang w:eastAsia="zh-CN"/>
            </w:rPr>
            <w:t>（二）生态环境保护建设成效显著</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F7D3595">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"_Toc183187221" </w:instrText>
          </w:r>
          <w:r>
            <w:fldChar w:fldCharType="separate"/>
          </w:r>
          <w:r>
            <w:rPr>
              <w:rStyle w:val="24"/>
              <w:rFonts w:ascii="Times New Roman" w:hAnsi="Times New Roman" w:eastAsia="仿宋" w:cs="Times New Roman"/>
              <w:sz w:val="28"/>
              <w:szCs w:val="28"/>
              <w:lang w:eastAsia="zh-CN"/>
            </w:rPr>
            <w:t>（三）生态环境质量逐年改善</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17D9376">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"_Toc183187222" </w:instrText>
          </w:r>
          <w:r>
            <w:fldChar w:fldCharType="separate"/>
          </w:r>
          <w:r>
            <w:rPr>
              <w:rStyle w:val="24"/>
              <w:rFonts w:ascii="Times New Roman" w:hAnsi="Times New Roman" w:eastAsia="仿宋" w:cs="Times New Roman"/>
              <w:sz w:val="28"/>
              <w:szCs w:val="28"/>
              <w:lang w:eastAsia="zh-CN"/>
            </w:rPr>
            <w:t>（四）“以路治沙”效果显著</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98ED2EF">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"_Toc183187223" </w:instrText>
          </w:r>
          <w:r>
            <w:fldChar w:fldCharType="separate"/>
          </w:r>
          <w:r>
            <w:rPr>
              <w:rStyle w:val="24"/>
              <w:rFonts w:ascii="Times New Roman" w:hAnsi="Times New Roman" w:eastAsia="仿宋" w:cs="Times New Roman"/>
              <w:sz w:val="28"/>
              <w:szCs w:val="28"/>
              <w:lang w:eastAsia="zh-CN"/>
            </w:rPr>
            <w:t>（五）生态文明制度体系现代化推进逐步形成</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73EF61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"_Toc183187224" </w:instrText>
          </w:r>
          <w:r>
            <w:fldChar w:fldCharType="separate"/>
          </w:r>
          <w:r>
            <w:rPr>
              <w:rStyle w:val="24"/>
              <w:rFonts w:ascii="Times New Roman" w:hAnsi="Times New Roman" w:eastAsia="仿宋" w:cs="Times New Roman"/>
              <w:sz w:val="28"/>
              <w:szCs w:val="28"/>
              <w:lang w:eastAsia="zh-CN"/>
            </w:rPr>
            <w:t>（六） 综合经济实力不断增强、产业结构调整成效显著</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5739870">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"_Toc183187225" </w:instrText>
          </w:r>
          <w:r>
            <w:fldChar w:fldCharType="separate"/>
          </w:r>
          <w:r>
            <w:rPr>
              <w:rStyle w:val="24"/>
              <w:rFonts w:ascii="Times New Roman" w:hAnsi="Times New Roman" w:eastAsia="仿宋" w:cs="Times New Roman"/>
              <w:sz w:val="28"/>
              <w:szCs w:val="28"/>
              <w:lang w:eastAsia="zh-CN"/>
            </w:rPr>
            <w:t>二、主要问题与挑战</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EABD07D">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"_Toc183187226" </w:instrText>
          </w:r>
          <w:r>
            <w:fldChar w:fldCharType="separate"/>
          </w:r>
          <w:r>
            <w:rPr>
              <w:rStyle w:val="24"/>
              <w:rFonts w:ascii="Times New Roman" w:hAnsi="Times New Roman" w:eastAsia="仿宋" w:cs="Times New Roman"/>
              <w:sz w:val="28"/>
              <w:szCs w:val="28"/>
            </w:rPr>
            <w:t>第二章 规划总则</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06A100B">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"_Toc183187227" </w:instrText>
          </w:r>
          <w:r>
            <w:fldChar w:fldCharType="separate"/>
          </w:r>
          <w:r>
            <w:rPr>
              <w:rStyle w:val="24"/>
              <w:rFonts w:ascii="Times New Roman" w:hAnsi="Times New Roman" w:eastAsia="仿宋" w:cs="Times New Roman"/>
              <w:sz w:val="28"/>
              <w:szCs w:val="28"/>
              <w:lang w:eastAsia="zh-CN"/>
            </w:rPr>
            <w:t>一、指导思想</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F65E86">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"_Toc183187228" </w:instrText>
          </w:r>
          <w:r>
            <w:fldChar w:fldCharType="separate"/>
          </w:r>
          <w:r>
            <w:rPr>
              <w:rStyle w:val="24"/>
              <w:rFonts w:ascii="Times New Roman" w:hAnsi="Times New Roman" w:eastAsia="仿宋" w:cs="Times New Roman"/>
              <w:sz w:val="28"/>
              <w:szCs w:val="28"/>
              <w:lang w:eastAsia="zh-CN"/>
            </w:rPr>
            <w:t>二、规划原则</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994FD25">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"_Toc183187229" </w:instrText>
          </w:r>
          <w:r>
            <w:fldChar w:fldCharType="separate"/>
          </w:r>
          <w:r>
            <w:rPr>
              <w:rStyle w:val="24"/>
              <w:rFonts w:ascii="Times New Roman" w:hAnsi="Times New Roman" w:eastAsia="仿宋" w:cs="Times New Roman"/>
              <w:sz w:val="28"/>
              <w:szCs w:val="28"/>
              <w:lang w:eastAsia="zh-CN"/>
            </w:rPr>
            <w:t>三、规划范围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_Toc183187229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3C02C58">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"_Toc183187230" </w:instrText>
          </w:r>
          <w:r>
            <w:fldChar w:fldCharType="separate"/>
          </w:r>
          <w:r>
            <w:rPr>
              <w:rStyle w:val="24"/>
              <w:rFonts w:ascii="Times New Roman" w:hAnsi="Times New Roman" w:eastAsia="仿宋" w:cs="Times New Roman"/>
              <w:sz w:val="28"/>
              <w:szCs w:val="28"/>
              <w:lang w:eastAsia="zh-CN"/>
            </w:rPr>
            <w:t>四、规划期限</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E71CC69">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"_Toc183187231" </w:instrText>
          </w:r>
          <w:r>
            <w:fldChar w:fldCharType="separate"/>
          </w:r>
          <w:r>
            <w:rPr>
              <w:rStyle w:val="24"/>
              <w:rFonts w:ascii="Times New Roman" w:hAnsi="Times New Roman" w:eastAsia="仿宋" w:cs="Times New Roman"/>
              <w:sz w:val="28"/>
              <w:szCs w:val="28"/>
              <w:lang w:eastAsia="zh-CN"/>
            </w:rPr>
            <w:t>五、规划目标</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EBBCAEF">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"_Toc183187232" </w:instrText>
          </w:r>
          <w:r>
            <w:fldChar w:fldCharType="separate"/>
          </w:r>
          <w:r>
            <w:rPr>
              <w:rStyle w:val="24"/>
              <w:rFonts w:ascii="Times New Roman" w:hAnsi="Times New Roman" w:eastAsia="仿宋" w:cs="Times New Roman"/>
              <w:spacing w:val="-2"/>
              <w:sz w:val="28"/>
              <w:szCs w:val="28"/>
              <w:lang w:eastAsia="zh-CN"/>
            </w:rPr>
            <w:t>（一）总目标</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565172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"_Toc183187233" </w:instrText>
          </w:r>
          <w:r>
            <w:fldChar w:fldCharType="separate"/>
          </w:r>
          <w:r>
            <w:rPr>
              <w:rStyle w:val="24"/>
              <w:rFonts w:ascii="Times New Roman" w:hAnsi="Times New Roman" w:eastAsia="仿宋" w:cs="Times New Roman"/>
              <w:spacing w:val="-2"/>
              <w:sz w:val="28"/>
              <w:szCs w:val="28"/>
              <w:lang w:eastAsia="zh-CN"/>
            </w:rPr>
            <w:t>（二）近期目标（2024-2025年）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236156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"_Toc183187234" </w:instrText>
          </w:r>
          <w:r>
            <w:fldChar w:fldCharType="separate"/>
          </w:r>
          <w:r>
            <w:rPr>
              <w:rStyle w:val="24"/>
              <w:rFonts w:ascii="Times New Roman" w:hAnsi="Times New Roman" w:eastAsia="仿宋" w:cs="Times New Roman"/>
              <w:spacing w:val="-2"/>
              <w:sz w:val="28"/>
              <w:szCs w:val="28"/>
              <w:lang w:eastAsia="zh-CN"/>
            </w:rPr>
            <w:t>（三）远期目标（2026-2030年）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FDFC8E9">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"_Toc183187235" </w:instrText>
          </w:r>
          <w:r>
            <w:fldChar w:fldCharType="separate"/>
          </w:r>
          <w:r>
            <w:rPr>
              <w:rStyle w:val="24"/>
              <w:rFonts w:ascii="Times New Roman" w:hAnsi="Times New Roman" w:eastAsia="仿宋" w:cs="Times New Roman"/>
              <w:spacing w:val="-2"/>
              <w:sz w:val="28"/>
              <w:szCs w:val="28"/>
              <w:lang w:eastAsia="zh-CN"/>
            </w:rPr>
            <w:t>（四）建设指标</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72B9133">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"_Toc183187236" </w:instrText>
          </w:r>
          <w:r>
            <w:fldChar w:fldCharType="separate"/>
          </w:r>
          <w:r>
            <w:rPr>
              <w:rStyle w:val="24"/>
              <w:rFonts w:ascii="Times New Roman" w:hAnsi="Times New Roman" w:eastAsia="仿宋" w:cs="Times New Roman"/>
              <w:sz w:val="28"/>
              <w:szCs w:val="28"/>
            </w:rPr>
            <w:t>第三章 以沙地治理为重点，优化生态空间结构</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D6E3A5A">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"_Toc183187237" </w:instrText>
          </w:r>
          <w:r>
            <w:fldChar w:fldCharType="separate"/>
          </w:r>
          <w:r>
            <w:rPr>
              <w:rStyle w:val="24"/>
              <w:rFonts w:ascii="Times New Roman" w:hAnsi="Times New Roman" w:eastAsia="仿宋" w:cs="Times New Roman"/>
              <w:sz w:val="28"/>
              <w:szCs w:val="28"/>
              <w:lang w:eastAsia="zh-CN"/>
            </w:rPr>
            <w:t>一、构建“一屏一区·两廊三支·多点维护”的生态空间格局</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8C16D07">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"_Toc183187238" </w:instrText>
          </w:r>
          <w:r>
            <w:fldChar w:fldCharType="separate"/>
          </w:r>
          <w:r>
            <w:rPr>
              <w:rStyle w:val="24"/>
              <w:rFonts w:ascii="Times New Roman" w:hAnsi="Times New Roman" w:eastAsia="仿宋" w:cs="Times New Roman"/>
              <w:sz w:val="28"/>
              <w:szCs w:val="28"/>
              <w:lang w:eastAsia="zh-CN"/>
            </w:rPr>
            <w:t>二、科学划定三区三线，保障生态安全底线</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F8099AE">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"_Toc183187239" </w:instrText>
          </w:r>
          <w:r>
            <w:fldChar w:fldCharType="separate"/>
          </w:r>
          <w:r>
            <w:rPr>
              <w:rStyle w:val="24"/>
              <w:rFonts w:ascii="Times New Roman" w:hAnsi="Times New Roman" w:eastAsia="仿宋" w:cs="Times New Roman"/>
              <w:spacing w:val="-2"/>
              <w:sz w:val="28"/>
              <w:szCs w:val="28"/>
              <w:lang w:eastAsia="zh-CN"/>
            </w:rPr>
            <w:t>（一）实施生态空间分区管控</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_Toc183187239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39496E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"_Toc183187240" </w:instrText>
          </w:r>
          <w:r>
            <w:fldChar w:fldCharType="separate"/>
          </w:r>
          <w:r>
            <w:rPr>
              <w:rStyle w:val="24"/>
              <w:rFonts w:ascii="Times New Roman" w:hAnsi="Times New Roman" w:eastAsia="仿宋" w:cs="Times New Roman"/>
              <w:spacing w:val="-2"/>
              <w:sz w:val="28"/>
              <w:szCs w:val="28"/>
              <w:lang w:eastAsia="zh-CN"/>
            </w:rPr>
            <w:t>（二）建设绿色高产农牧业生产空间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66D1A7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"_Toc183187241" </w:instrText>
          </w:r>
          <w:r>
            <w:fldChar w:fldCharType="separate"/>
          </w:r>
          <w:r>
            <w:rPr>
              <w:rStyle w:val="24"/>
              <w:rFonts w:ascii="Times New Roman" w:hAnsi="Times New Roman" w:eastAsia="仿宋" w:cs="Times New Roman"/>
              <w:spacing w:val="-2"/>
              <w:sz w:val="28"/>
              <w:szCs w:val="28"/>
              <w:lang w:eastAsia="zh-CN"/>
            </w:rPr>
            <w:t>（三）构建“一轴三带、一心四点”的城镇空间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29C3FB0">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"_Toc183187242" </w:instrText>
          </w:r>
          <w:r>
            <w:fldChar w:fldCharType="separate"/>
          </w:r>
          <w:r>
            <w:rPr>
              <w:rStyle w:val="24"/>
              <w:rFonts w:ascii="Times New Roman" w:hAnsi="Times New Roman" w:eastAsia="仿宋" w:cs="Times New Roman"/>
              <w:sz w:val="28"/>
              <w:szCs w:val="28"/>
              <w:lang w:eastAsia="zh-CN"/>
            </w:rPr>
            <w:t>三、突出翁牛特旗特色，全面打赢科尔沁沙地歼灭战</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440639">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"_Toc183187243" </w:instrText>
          </w:r>
          <w:r>
            <w:fldChar w:fldCharType="separate"/>
          </w:r>
          <w:r>
            <w:rPr>
              <w:rStyle w:val="24"/>
              <w:rFonts w:ascii="Times New Roman" w:hAnsi="Times New Roman" w:eastAsia="仿宋" w:cs="Times New Roman"/>
              <w:spacing w:val="-2"/>
              <w:sz w:val="28"/>
              <w:szCs w:val="28"/>
              <w:lang w:eastAsia="zh-CN"/>
            </w:rPr>
            <w:t>（一）持续强化荒漠化防治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FAF96E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"_Toc183187244" </w:instrText>
          </w:r>
          <w:r>
            <w:fldChar w:fldCharType="separate"/>
          </w:r>
          <w:r>
            <w:rPr>
              <w:rStyle w:val="24"/>
              <w:rFonts w:ascii="Times New Roman" w:hAnsi="Times New Roman" w:eastAsia="仿宋" w:cs="Times New Roman"/>
              <w:spacing w:val="-2"/>
              <w:sz w:val="28"/>
              <w:szCs w:val="28"/>
              <w:lang w:eastAsia="zh-CN"/>
            </w:rPr>
            <w:t>（二）大力实施沙地资源保护</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E3C8F0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"_Toc183187245" </w:instrText>
          </w:r>
          <w:r>
            <w:fldChar w:fldCharType="separate"/>
          </w:r>
          <w:r>
            <w:rPr>
              <w:rStyle w:val="24"/>
              <w:rFonts w:ascii="Times New Roman" w:hAnsi="Times New Roman" w:eastAsia="仿宋" w:cs="Times New Roman"/>
              <w:spacing w:val="-2"/>
              <w:sz w:val="28"/>
              <w:szCs w:val="28"/>
              <w:lang w:eastAsia="zh-CN"/>
            </w:rPr>
            <w:t>（三）合理开展沙地综合利用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447F675">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"_Toc183187246" </w:instrText>
          </w:r>
          <w:r>
            <w:fldChar w:fldCharType="separate"/>
          </w:r>
          <w:r>
            <w:rPr>
              <w:rStyle w:val="24"/>
              <w:rFonts w:ascii="Times New Roman" w:hAnsi="Times New Roman" w:eastAsia="仿宋" w:cs="Times New Roman"/>
              <w:sz w:val="28"/>
              <w:szCs w:val="28"/>
              <w:lang w:eastAsia="zh-CN"/>
            </w:rPr>
            <w:t>四、系统治理山水林田湖草沙</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7C6A42B">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"_Toc183187247" </w:instrText>
          </w:r>
          <w:r>
            <w:fldChar w:fldCharType="separate"/>
          </w:r>
          <w:r>
            <w:rPr>
              <w:rStyle w:val="24"/>
              <w:rFonts w:ascii="Times New Roman" w:hAnsi="Times New Roman" w:eastAsia="仿宋" w:cs="Times New Roman"/>
              <w:spacing w:val="-2"/>
              <w:sz w:val="28"/>
              <w:szCs w:val="28"/>
              <w:lang w:eastAsia="zh-CN"/>
            </w:rPr>
            <w:t>（一）统筹推进山水林田湖草沙一体化治理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A94F245">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"_Toc183187248" </w:instrText>
          </w:r>
          <w:r>
            <w:fldChar w:fldCharType="separate"/>
          </w:r>
          <w:r>
            <w:rPr>
              <w:rStyle w:val="24"/>
              <w:rFonts w:ascii="Times New Roman" w:hAnsi="Times New Roman" w:eastAsia="仿宋" w:cs="Times New Roman"/>
              <w:spacing w:val="-2"/>
              <w:sz w:val="28"/>
              <w:szCs w:val="28"/>
              <w:lang w:eastAsia="zh-CN"/>
            </w:rPr>
            <w:t>（二）不断增强草原生态保护和修复力度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F1F033A">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"_Toc183187249" </w:instrText>
          </w:r>
          <w:r>
            <w:fldChar w:fldCharType="separate"/>
          </w:r>
          <w:r>
            <w:rPr>
              <w:rStyle w:val="24"/>
              <w:rFonts w:ascii="Times New Roman" w:hAnsi="Times New Roman" w:eastAsia="仿宋" w:cs="Times New Roman"/>
              <w:spacing w:val="-2"/>
              <w:sz w:val="28"/>
              <w:szCs w:val="28"/>
              <w:lang w:eastAsia="zh-CN"/>
            </w:rPr>
            <w:t>（三）持续开展林地资源保护与利用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_Toc183187249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3CBB0D2">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"_Toc183187250" </w:instrText>
          </w:r>
          <w:r>
            <w:fldChar w:fldCharType="separate"/>
          </w:r>
          <w:r>
            <w:rPr>
              <w:rStyle w:val="24"/>
              <w:rFonts w:ascii="Times New Roman" w:hAnsi="Times New Roman" w:eastAsia="仿宋" w:cs="Times New Roman"/>
              <w:sz w:val="28"/>
              <w:szCs w:val="28"/>
              <w:lang w:eastAsia="zh-CN"/>
            </w:rPr>
            <w:t>五、加强生物多样性保护</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84B3F9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"_Toc183187251" </w:instrText>
          </w:r>
          <w:r>
            <w:fldChar w:fldCharType="separate"/>
          </w:r>
          <w:r>
            <w:rPr>
              <w:rStyle w:val="24"/>
              <w:rFonts w:ascii="Times New Roman" w:hAnsi="Times New Roman" w:eastAsia="仿宋" w:cs="Times New Roman"/>
              <w:spacing w:val="-2"/>
              <w:sz w:val="28"/>
              <w:szCs w:val="28"/>
              <w:lang w:eastAsia="zh-CN"/>
            </w:rPr>
            <w:t>（一）加强自然保护地体系建设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9D3020E">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"_Toc183187252" </w:instrText>
          </w:r>
          <w:r>
            <w:fldChar w:fldCharType="separate"/>
          </w:r>
          <w:r>
            <w:rPr>
              <w:rStyle w:val="24"/>
              <w:rFonts w:ascii="Times New Roman" w:hAnsi="Times New Roman" w:eastAsia="仿宋" w:cs="Times New Roman"/>
              <w:spacing w:val="-2"/>
              <w:sz w:val="28"/>
              <w:szCs w:val="28"/>
              <w:lang w:eastAsia="zh-CN"/>
            </w:rPr>
            <w:t>（二）加强生物多样性保护</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02C581">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"_Toc183187253" </w:instrText>
          </w:r>
          <w:r>
            <w:fldChar w:fldCharType="separate"/>
          </w:r>
          <w:r>
            <w:rPr>
              <w:rStyle w:val="24"/>
              <w:rFonts w:ascii="Times New Roman" w:hAnsi="Times New Roman" w:eastAsia="仿宋" w:cs="Times New Roman"/>
              <w:sz w:val="28"/>
              <w:szCs w:val="28"/>
            </w:rPr>
            <w:t>第四章 生态安全体系建设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85FA76E">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"_Toc183187254" </w:instrText>
          </w:r>
          <w:r>
            <w:fldChar w:fldCharType="separate"/>
          </w:r>
          <w:r>
            <w:rPr>
              <w:rStyle w:val="24"/>
              <w:rFonts w:ascii="Times New Roman" w:hAnsi="Times New Roman" w:eastAsia="仿宋" w:cs="Times New Roman"/>
              <w:sz w:val="28"/>
              <w:szCs w:val="28"/>
              <w:lang w:eastAsia="zh-CN"/>
            </w:rPr>
            <w:t>一、提升水环境质量</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8A6D7F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"_Toc183187255" </w:instrText>
          </w:r>
          <w:r>
            <w:fldChar w:fldCharType="separate"/>
          </w:r>
          <w:r>
            <w:rPr>
              <w:rStyle w:val="24"/>
              <w:rFonts w:ascii="Times New Roman" w:hAnsi="Times New Roman" w:eastAsia="仿宋" w:cs="Times New Roman"/>
              <w:spacing w:val="-2"/>
              <w:sz w:val="28"/>
              <w:szCs w:val="28"/>
              <w:lang w:eastAsia="zh-CN"/>
            </w:rPr>
            <w:t>（一）强化水资源保障，建设节水型社会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3B7F0A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"_Toc183187256" </w:instrText>
          </w:r>
          <w:r>
            <w:fldChar w:fldCharType="separate"/>
          </w:r>
          <w:r>
            <w:rPr>
              <w:rStyle w:val="24"/>
              <w:rFonts w:ascii="Times New Roman" w:hAnsi="Times New Roman" w:eastAsia="仿宋" w:cs="Times New Roman"/>
              <w:spacing w:val="-2"/>
              <w:sz w:val="28"/>
              <w:szCs w:val="28"/>
              <w:shd w:val="clear" w:color="auto" w:fill="FFFFFF" w:themeFill="background1"/>
              <w:lang w:eastAsia="zh-CN"/>
            </w:rPr>
            <w:t>（二）加强地下水及水源地保护</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297186B">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"_Toc183187257" </w:instrText>
          </w:r>
          <w:r>
            <w:fldChar w:fldCharType="separate"/>
          </w:r>
          <w:r>
            <w:rPr>
              <w:rStyle w:val="24"/>
              <w:rFonts w:ascii="Times New Roman" w:hAnsi="Times New Roman" w:eastAsia="仿宋" w:cs="Times New Roman"/>
              <w:spacing w:val="-2"/>
              <w:sz w:val="28"/>
              <w:szCs w:val="28"/>
              <w:lang w:eastAsia="zh-CN"/>
            </w:rPr>
            <w:t>（三）重点改善地表水环境状况</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990A91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"_Toc183187258" </w:instrText>
          </w:r>
          <w:r>
            <w:fldChar w:fldCharType="separate"/>
          </w:r>
          <w:r>
            <w:rPr>
              <w:rStyle w:val="24"/>
              <w:rFonts w:ascii="Times New Roman" w:hAnsi="Times New Roman" w:eastAsia="仿宋" w:cs="Times New Roman"/>
              <w:spacing w:val="-2"/>
              <w:sz w:val="28"/>
              <w:szCs w:val="28"/>
              <w:lang w:eastAsia="zh-CN"/>
            </w:rPr>
            <w:t>（四）推进“多源”水污染治理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DB3F0F6">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"_Toc183187259" </w:instrText>
          </w:r>
          <w:r>
            <w:fldChar w:fldCharType="separate"/>
          </w:r>
          <w:r>
            <w:rPr>
              <w:rStyle w:val="24"/>
              <w:rFonts w:ascii="Times New Roman" w:hAnsi="Times New Roman" w:eastAsia="仿宋" w:cs="Times New Roman"/>
              <w:spacing w:val="-2"/>
              <w:sz w:val="28"/>
              <w:szCs w:val="28"/>
              <w:lang w:eastAsia="zh-CN"/>
            </w:rPr>
            <w:t>（五）突出抓好水土保持</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_Toc183187259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B2FCEC8">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"_Toc183187260" </w:instrText>
          </w:r>
          <w:r>
            <w:fldChar w:fldCharType="separate"/>
          </w:r>
          <w:r>
            <w:rPr>
              <w:rStyle w:val="24"/>
              <w:rFonts w:ascii="Times New Roman" w:hAnsi="Times New Roman" w:eastAsia="仿宋" w:cs="Times New Roman"/>
              <w:sz w:val="28"/>
              <w:szCs w:val="28"/>
              <w:lang w:eastAsia="zh-CN"/>
            </w:rPr>
            <w:t>二、改善大气环境质量</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41C981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"_Toc183187261" </w:instrText>
          </w:r>
          <w:r>
            <w:fldChar w:fldCharType="separate"/>
          </w:r>
          <w:r>
            <w:rPr>
              <w:rStyle w:val="24"/>
              <w:rFonts w:ascii="Times New Roman" w:hAnsi="Times New Roman" w:eastAsia="仿宋" w:cs="Times New Roman"/>
              <w:spacing w:val="-2"/>
              <w:sz w:val="28"/>
              <w:szCs w:val="28"/>
              <w:lang w:eastAsia="zh-CN"/>
            </w:rPr>
            <w:t>（一）精细化制定大气环境监管方案</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8035E22">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"_Toc183187262" </w:instrText>
          </w:r>
          <w:r>
            <w:fldChar w:fldCharType="separate"/>
          </w:r>
          <w:r>
            <w:rPr>
              <w:rStyle w:val="24"/>
              <w:rFonts w:ascii="Times New Roman" w:hAnsi="Times New Roman" w:eastAsia="仿宋" w:cs="Times New Roman"/>
              <w:spacing w:val="-2"/>
              <w:sz w:val="28"/>
              <w:szCs w:val="28"/>
              <w:lang w:eastAsia="zh-CN"/>
            </w:rPr>
            <w:t>（二）加强多污染物系统控制</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29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43F0589">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"_Toc183187263" </w:instrText>
          </w:r>
          <w:r>
            <w:fldChar w:fldCharType="separate"/>
          </w:r>
          <w:r>
            <w:rPr>
              <w:rStyle w:val="24"/>
              <w:rFonts w:ascii="Times New Roman" w:hAnsi="Times New Roman" w:eastAsia="仿宋" w:cs="Times New Roman"/>
              <w:spacing w:val="-2"/>
              <w:sz w:val="28"/>
              <w:szCs w:val="28"/>
              <w:lang w:eastAsia="zh-CN"/>
            </w:rPr>
            <w:t>（三）妥善应对重污染天气</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0C421AD">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"_Toc183187264" </w:instrText>
          </w:r>
          <w:r>
            <w:fldChar w:fldCharType="separate"/>
          </w:r>
          <w:r>
            <w:rPr>
              <w:rStyle w:val="24"/>
              <w:rFonts w:ascii="Times New Roman" w:hAnsi="Times New Roman" w:eastAsia="仿宋" w:cs="Times New Roman"/>
              <w:spacing w:val="-2"/>
              <w:sz w:val="28"/>
              <w:szCs w:val="28"/>
              <w:lang w:eastAsia="zh-CN"/>
            </w:rPr>
            <w:t>（四）深化工业废气综合治理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F4CB993">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"_Toc183187265" </w:instrText>
          </w:r>
          <w:r>
            <w:fldChar w:fldCharType="separate"/>
          </w:r>
          <w:r>
            <w:rPr>
              <w:rStyle w:val="24"/>
              <w:rFonts w:ascii="Times New Roman" w:hAnsi="Times New Roman" w:eastAsia="仿宋" w:cs="Times New Roman"/>
              <w:spacing w:val="-2"/>
              <w:sz w:val="28"/>
              <w:szCs w:val="28"/>
              <w:lang w:eastAsia="zh-CN"/>
            </w:rPr>
            <w:t>（五）大力推进低空面源污染防治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D77FA1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"_Toc183187266" </w:instrText>
          </w:r>
          <w:r>
            <w:fldChar w:fldCharType="separate"/>
          </w:r>
          <w:r>
            <w:rPr>
              <w:rStyle w:val="24"/>
              <w:rFonts w:ascii="Times New Roman" w:hAnsi="Times New Roman" w:eastAsia="仿宋" w:cs="Times New Roman"/>
              <w:spacing w:val="-2"/>
              <w:sz w:val="28"/>
              <w:szCs w:val="28"/>
              <w:lang w:eastAsia="zh-CN"/>
            </w:rPr>
            <w:t>（六）加强噪声污染防治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EC14AD2">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"_Toc183187267" </w:instrText>
          </w:r>
          <w:r>
            <w:fldChar w:fldCharType="separate"/>
          </w:r>
          <w:r>
            <w:rPr>
              <w:rStyle w:val="24"/>
              <w:rFonts w:ascii="Times New Roman" w:hAnsi="Times New Roman" w:eastAsia="仿宋" w:cs="Times New Roman"/>
              <w:sz w:val="28"/>
              <w:szCs w:val="28"/>
              <w:lang w:eastAsia="zh-CN"/>
            </w:rPr>
            <w:t>三、强化土壤环境治理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86042AA">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"_Toc183187268" </w:instrText>
          </w:r>
          <w:r>
            <w:fldChar w:fldCharType="separate"/>
          </w:r>
          <w:r>
            <w:rPr>
              <w:rStyle w:val="24"/>
              <w:rFonts w:ascii="Times New Roman" w:hAnsi="Times New Roman" w:eastAsia="仿宋" w:cs="Times New Roman"/>
              <w:spacing w:val="-2"/>
              <w:sz w:val="28"/>
              <w:szCs w:val="28"/>
              <w:lang w:eastAsia="zh-CN"/>
            </w:rPr>
            <w:t>（一）实施土壤分类分级管理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FEA4E92">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"_Toc183187269" </w:instrText>
          </w:r>
          <w:r>
            <w:fldChar w:fldCharType="separate"/>
          </w:r>
          <w:r>
            <w:rPr>
              <w:rStyle w:val="24"/>
              <w:rFonts w:ascii="Times New Roman" w:hAnsi="Times New Roman" w:eastAsia="仿宋" w:cs="Times New Roman"/>
              <w:spacing w:val="-2"/>
              <w:sz w:val="28"/>
              <w:szCs w:val="28"/>
              <w:lang w:eastAsia="zh-CN"/>
            </w:rPr>
            <w:t>（二）不断强化土壤污染防控治理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_Toc183187269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AD51693">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"_Toc183187270" </w:instrText>
          </w:r>
          <w:r>
            <w:fldChar w:fldCharType="separate"/>
          </w:r>
          <w:r>
            <w:rPr>
              <w:rStyle w:val="24"/>
              <w:rFonts w:ascii="Times New Roman" w:hAnsi="Times New Roman" w:eastAsia="仿宋" w:cs="Times New Roman"/>
              <w:spacing w:val="-2"/>
              <w:sz w:val="28"/>
              <w:szCs w:val="28"/>
              <w:lang w:eastAsia="zh-CN"/>
            </w:rPr>
            <w:t>（三）推进农用土地分类监管</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BCFCF95">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"_Toc183187271" </w:instrText>
          </w:r>
          <w:r>
            <w:fldChar w:fldCharType="separate"/>
          </w:r>
          <w:r>
            <w:rPr>
              <w:rStyle w:val="24"/>
              <w:rFonts w:ascii="Times New Roman" w:hAnsi="Times New Roman" w:eastAsia="仿宋" w:cs="Times New Roman"/>
              <w:spacing w:val="-2"/>
              <w:sz w:val="28"/>
              <w:szCs w:val="28"/>
              <w:lang w:eastAsia="zh-CN"/>
            </w:rPr>
            <w:t>（四）实行建设用地全程管理</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E5B5A3A">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"_Toc183187272" </w:instrText>
          </w:r>
          <w:r>
            <w:fldChar w:fldCharType="separate"/>
          </w:r>
          <w:r>
            <w:rPr>
              <w:rStyle w:val="24"/>
              <w:rFonts w:ascii="Times New Roman" w:hAnsi="Times New Roman" w:eastAsia="仿宋" w:cs="Times New Roman"/>
              <w:sz w:val="28"/>
              <w:szCs w:val="28"/>
              <w:lang w:eastAsia="zh-CN"/>
            </w:rPr>
            <w:t>四、全面提供固体废弃综合利用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1A12767">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"_Toc183187273" </w:instrText>
          </w:r>
          <w:r>
            <w:fldChar w:fldCharType="separate"/>
          </w:r>
          <w:r>
            <w:rPr>
              <w:rStyle w:val="24"/>
              <w:rFonts w:ascii="Times New Roman" w:hAnsi="Times New Roman" w:eastAsia="仿宋" w:cs="Times New Roman"/>
              <w:spacing w:val="-2"/>
              <w:sz w:val="28"/>
              <w:szCs w:val="28"/>
              <w:lang w:eastAsia="zh-CN"/>
            </w:rPr>
            <w:t>（一）强化主体责任及应急保障</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E718D6E">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"_Toc183187274" </w:instrText>
          </w:r>
          <w:r>
            <w:fldChar w:fldCharType="separate"/>
          </w:r>
          <w:r>
            <w:rPr>
              <w:rStyle w:val="24"/>
              <w:rFonts w:ascii="Times New Roman" w:hAnsi="Times New Roman" w:eastAsia="仿宋" w:cs="Times New Roman"/>
              <w:spacing w:val="-2"/>
              <w:sz w:val="28"/>
              <w:szCs w:val="28"/>
              <w:lang w:eastAsia="zh-CN"/>
            </w:rPr>
            <w:t>（二）持续危险废物监管及处置</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54BAE3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"_Toc183187275" </w:instrText>
          </w:r>
          <w:r>
            <w:fldChar w:fldCharType="separate"/>
          </w:r>
          <w:r>
            <w:rPr>
              <w:rStyle w:val="24"/>
              <w:rFonts w:ascii="Times New Roman" w:hAnsi="Times New Roman" w:eastAsia="仿宋" w:cs="Times New Roman"/>
              <w:spacing w:val="-2"/>
              <w:sz w:val="28"/>
              <w:szCs w:val="28"/>
              <w:lang w:eastAsia="zh-CN"/>
            </w:rPr>
            <w:t>（三）提高城乡生活垃圾处理能力</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3668A1C">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"_Toc183187276" </w:instrText>
          </w:r>
          <w:r>
            <w:fldChar w:fldCharType="separate"/>
          </w:r>
          <w:r>
            <w:rPr>
              <w:rStyle w:val="24"/>
              <w:rFonts w:ascii="Times New Roman" w:hAnsi="Times New Roman" w:eastAsia="仿宋" w:cs="Times New Roman"/>
              <w:spacing w:val="-2"/>
              <w:sz w:val="28"/>
              <w:szCs w:val="28"/>
              <w:lang w:eastAsia="zh-CN"/>
            </w:rPr>
            <w:t>（四）加强一般固废处置利用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CD14C3">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"_Toc183187277" </w:instrText>
          </w:r>
          <w:r>
            <w:fldChar w:fldCharType="separate"/>
          </w:r>
          <w:r>
            <w:rPr>
              <w:rStyle w:val="24"/>
              <w:rFonts w:ascii="Times New Roman" w:hAnsi="Times New Roman" w:eastAsia="仿宋" w:cs="Times New Roman"/>
              <w:sz w:val="28"/>
              <w:szCs w:val="28"/>
              <w:lang w:eastAsia="zh-CN"/>
            </w:rPr>
            <w:t>五、加强生态环境风险防范</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9A2465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"_Toc183187278" </w:instrText>
          </w:r>
          <w:r>
            <w:fldChar w:fldCharType="separate"/>
          </w:r>
          <w:r>
            <w:rPr>
              <w:rStyle w:val="24"/>
              <w:rFonts w:ascii="Times New Roman" w:hAnsi="Times New Roman" w:eastAsia="仿宋" w:cs="Times New Roman"/>
              <w:spacing w:val="-2"/>
              <w:sz w:val="28"/>
              <w:szCs w:val="28"/>
              <w:lang w:eastAsia="zh-CN"/>
            </w:rPr>
            <w:t>（一）制定环境风险联防联控机制</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1717F1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"_Toc183187279" </w:instrText>
          </w:r>
          <w:r>
            <w:fldChar w:fldCharType="separate"/>
          </w:r>
          <w:r>
            <w:rPr>
              <w:rStyle w:val="24"/>
              <w:rFonts w:ascii="Times New Roman" w:hAnsi="Times New Roman" w:eastAsia="仿宋" w:cs="Times New Roman"/>
              <w:spacing w:val="-2"/>
              <w:sz w:val="28"/>
              <w:szCs w:val="28"/>
              <w:lang w:eastAsia="zh-CN"/>
            </w:rPr>
            <w:t>（二）不断加强环境风险应急能力建设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_Toc183187279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A24E553">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"_Toc183187280" </w:instrText>
          </w:r>
          <w:r>
            <w:fldChar w:fldCharType="separate"/>
          </w:r>
          <w:r>
            <w:rPr>
              <w:rStyle w:val="24"/>
              <w:rFonts w:ascii="Times New Roman" w:hAnsi="Times New Roman" w:eastAsia="仿宋" w:cs="Times New Roman"/>
              <w:sz w:val="28"/>
              <w:szCs w:val="28"/>
              <w:lang w:eastAsia="zh-CN"/>
            </w:rPr>
            <w:t>六、积极应对气候变化</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47E90CD">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"_Toc183187281" </w:instrText>
          </w:r>
          <w:r>
            <w:fldChar w:fldCharType="separate"/>
          </w:r>
          <w:r>
            <w:rPr>
              <w:rStyle w:val="24"/>
              <w:rFonts w:ascii="Times New Roman" w:hAnsi="Times New Roman" w:eastAsia="仿宋" w:cs="Times New Roman"/>
              <w:spacing w:val="-2"/>
              <w:sz w:val="28"/>
              <w:szCs w:val="28"/>
              <w:lang w:eastAsia="zh-CN"/>
            </w:rPr>
            <w:t>（一）推动重点领域碳达峰</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685AE5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"_Toc183187282" </w:instrText>
          </w:r>
          <w:r>
            <w:fldChar w:fldCharType="separate"/>
          </w:r>
          <w:r>
            <w:rPr>
              <w:rStyle w:val="24"/>
              <w:rFonts w:ascii="Times New Roman" w:hAnsi="Times New Roman" w:eastAsia="仿宋" w:cs="Times New Roman"/>
              <w:spacing w:val="-2"/>
              <w:sz w:val="28"/>
              <w:szCs w:val="28"/>
              <w:lang w:eastAsia="zh-CN"/>
            </w:rPr>
            <w:t>（二）实施生态补偿和碳汇交易</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39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17D027C">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"_Toc183187283" </w:instrText>
          </w:r>
          <w:r>
            <w:fldChar w:fldCharType="separate"/>
          </w:r>
          <w:r>
            <w:rPr>
              <w:rStyle w:val="24"/>
              <w:rFonts w:ascii="Times New Roman" w:hAnsi="Times New Roman" w:eastAsia="仿宋" w:cs="Times New Roman"/>
              <w:kern w:val="36"/>
              <w:sz w:val="28"/>
              <w:szCs w:val="28"/>
            </w:rPr>
            <w:t>第五章 目标责任体系建设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3D53D91">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"_Toc183187284" </w:instrText>
          </w:r>
          <w:r>
            <w:fldChar w:fldCharType="separate"/>
          </w:r>
          <w:r>
            <w:rPr>
              <w:rStyle w:val="24"/>
              <w:rFonts w:ascii="Times New Roman" w:hAnsi="Times New Roman" w:eastAsia="仿宋" w:cs="Times New Roman"/>
              <w:sz w:val="28"/>
              <w:szCs w:val="28"/>
              <w:lang w:eastAsia="zh-CN"/>
            </w:rPr>
            <w:t>一、健全生态环境保护制度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6A7BA71">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"_Toc183187285" </w:instrText>
          </w:r>
          <w:r>
            <w:fldChar w:fldCharType="separate"/>
          </w:r>
          <w:r>
            <w:rPr>
              <w:rStyle w:val="24"/>
              <w:rFonts w:ascii="Times New Roman" w:hAnsi="Times New Roman" w:eastAsia="仿宋" w:cs="Times New Roman"/>
              <w:spacing w:val="-2"/>
              <w:sz w:val="28"/>
              <w:szCs w:val="28"/>
              <w:lang w:eastAsia="zh-CN"/>
            </w:rPr>
            <w:t>（一）强化生态环境治理、保护等制度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BA867ED">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"_Toc183187286" </w:instrText>
          </w:r>
          <w:r>
            <w:fldChar w:fldCharType="separate"/>
          </w:r>
          <w:r>
            <w:rPr>
              <w:rStyle w:val="24"/>
              <w:rFonts w:ascii="Times New Roman" w:hAnsi="Times New Roman" w:eastAsia="仿宋" w:cs="Times New Roman"/>
              <w:spacing w:val="-2"/>
              <w:sz w:val="28"/>
              <w:szCs w:val="28"/>
              <w:lang w:eastAsia="zh-CN"/>
            </w:rPr>
            <w:t>（二）构建以排污许可制为核心的固定污染源监管制度体系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6A7D800">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"_Toc183187287" </w:instrText>
          </w:r>
          <w:r>
            <w:fldChar w:fldCharType="separate"/>
          </w:r>
          <w:r>
            <w:rPr>
              <w:rStyle w:val="24"/>
              <w:rFonts w:ascii="Times New Roman" w:hAnsi="Times New Roman" w:eastAsia="仿宋" w:cs="Times New Roman"/>
              <w:spacing w:val="-2"/>
              <w:sz w:val="28"/>
              <w:szCs w:val="28"/>
              <w:lang w:eastAsia="zh-CN"/>
            </w:rPr>
            <w:t>（三）健全生态环境信息公开制度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01636DD">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"_Toc183187288" </w:instrText>
          </w:r>
          <w:r>
            <w:fldChar w:fldCharType="separate"/>
          </w:r>
          <w:r>
            <w:rPr>
              <w:rStyle w:val="24"/>
              <w:rFonts w:ascii="Times New Roman" w:hAnsi="Times New Roman" w:eastAsia="仿宋" w:cs="Times New Roman"/>
              <w:sz w:val="28"/>
              <w:szCs w:val="28"/>
              <w:lang w:eastAsia="zh-CN"/>
            </w:rPr>
            <w:t>二、全面建立资源高效节约利用制度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43A556">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"_Toc183187289" </w:instrText>
          </w:r>
          <w:r>
            <w:fldChar w:fldCharType="separate"/>
          </w:r>
          <w:r>
            <w:rPr>
              <w:rStyle w:val="24"/>
              <w:rFonts w:ascii="Times New Roman" w:hAnsi="Times New Roman" w:eastAsia="仿宋" w:cs="Times New Roman"/>
              <w:sz w:val="28"/>
              <w:szCs w:val="28"/>
              <w:lang w:eastAsia="zh-CN"/>
            </w:rPr>
            <w:t>三、健全生态保护补偿制度</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_Toc183187289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12AA10B">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"_Toc183187290" </w:instrText>
          </w:r>
          <w:r>
            <w:fldChar w:fldCharType="separate"/>
          </w:r>
          <w:r>
            <w:rPr>
              <w:rStyle w:val="24"/>
              <w:rFonts w:ascii="Times New Roman" w:hAnsi="Times New Roman" w:eastAsia="仿宋" w:cs="Times New Roman"/>
              <w:sz w:val="28"/>
              <w:szCs w:val="28"/>
            </w:rPr>
            <w:t>第六章 生态经济体系建设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B7103CD">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"_Toc183187291" </w:instrText>
          </w:r>
          <w:r>
            <w:fldChar w:fldCharType="separate"/>
          </w:r>
          <w:r>
            <w:rPr>
              <w:rStyle w:val="24"/>
              <w:rFonts w:ascii="Times New Roman" w:hAnsi="Times New Roman" w:eastAsia="仿宋" w:cs="Times New Roman"/>
              <w:sz w:val="28"/>
              <w:szCs w:val="28"/>
              <w:lang w:eastAsia="zh-CN"/>
            </w:rPr>
            <w:t>一、全方位培育绿色低碳产业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9ABC362">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"_Toc183187292" </w:instrText>
          </w:r>
          <w:r>
            <w:fldChar w:fldCharType="separate"/>
          </w:r>
          <w:r>
            <w:rPr>
              <w:rStyle w:val="24"/>
              <w:rFonts w:ascii="Times New Roman" w:hAnsi="Times New Roman" w:eastAsia="仿宋" w:cs="Times New Roman"/>
              <w:spacing w:val="-2"/>
              <w:sz w:val="28"/>
              <w:szCs w:val="28"/>
              <w:lang w:eastAsia="zh-CN"/>
            </w:rPr>
            <w:t>（一）提高农业产业现代化水平</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D7386CD">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"_Toc183187293" </w:instrText>
          </w:r>
          <w:r>
            <w:fldChar w:fldCharType="separate"/>
          </w:r>
          <w:r>
            <w:rPr>
              <w:rStyle w:val="24"/>
              <w:rFonts w:ascii="Times New Roman" w:hAnsi="Times New Roman" w:eastAsia="仿宋" w:cs="Times New Roman"/>
              <w:spacing w:val="-2"/>
              <w:sz w:val="28"/>
              <w:szCs w:val="28"/>
              <w:lang w:eastAsia="zh-CN"/>
            </w:rPr>
            <w:t>（二）发展循环低碳的新型工业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4075E82">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"_Toc183187294" </w:instrText>
          </w:r>
          <w:r>
            <w:fldChar w:fldCharType="separate"/>
          </w:r>
          <w:r>
            <w:rPr>
              <w:rStyle w:val="24"/>
              <w:rFonts w:ascii="Times New Roman" w:hAnsi="Times New Roman" w:eastAsia="仿宋" w:cs="Times New Roman"/>
              <w:spacing w:val="-2"/>
              <w:sz w:val="28"/>
              <w:szCs w:val="28"/>
              <w:lang w:eastAsia="zh-CN"/>
            </w:rPr>
            <w:t>（三）打造绿色智能现代服务业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9C17AC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"_Toc183187295" </w:instrText>
          </w:r>
          <w:r>
            <w:fldChar w:fldCharType="separate"/>
          </w:r>
          <w:r>
            <w:rPr>
              <w:rStyle w:val="24"/>
              <w:rFonts w:ascii="Times New Roman" w:hAnsi="Times New Roman" w:eastAsia="仿宋" w:cs="Times New Roman"/>
              <w:spacing w:val="-2"/>
              <w:sz w:val="28"/>
              <w:szCs w:val="28"/>
              <w:lang w:eastAsia="zh-CN"/>
            </w:rPr>
            <w:t>（四）加速推进碳达峰战略实施</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E8F8D5D">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"_Toc183187296" </w:instrText>
          </w:r>
          <w:r>
            <w:fldChar w:fldCharType="separate"/>
          </w:r>
          <w:r>
            <w:rPr>
              <w:rStyle w:val="24"/>
              <w:rFonts w:ascii="Times New Roman" w:hAnsi="Times New Roman" w:eastAsia="仿宋" w:cs="Times New Roman"/>
              <w:sz w:val="28"/>
              <w:szCs w:val="28"/>
              <w:lang w:eastAsia="zh-CN"/>
            </w:rPr>
            <w:t>二、多业态实施产业结构调整</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42F12A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"_Toc183187297" </w:instrText>
          </w:r>
          <w:r>
            <w:fldChar w:fldCharType="separate"/>
          </w:r>
          <w:r>
            <w:rPr>
              <w:rStyle w:val="24"/>
              <w:rFonts w:ascii="Times New Roman" w:hAnsi="Times New Roman" w:eastAsia="仿宋" w:cs="Times New Roman"/>
              <w:spacing w:val="-2"/>
              <w:sz w:val="28"/>
              <w:szCs w:val="28"/>
              <w:lang w:eastAsia="zh-CN"/>
            </w:rPr>
            <w:t>（一）优化农经饲结构，科学发展畜牧业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49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CEBAA1F">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"_Toc183187298" </w:instrText>
          </w:r>
          <w:r>
            <w:fldChar w:fldCharType="separate"/>
          </w:r>
          <w:r>
            <w:rPr>
              <w:rStyle w:val="24"/>
              <w:rFonts w:ascii="Times New Roman" w:hAnsi="Times New Roman" w:eastAsia="仿宋" w:cs="Times New Roman"/>
              <w:spacing w:val="-2"/>
              <w:sz w:val="28"/>
              <w:szCs w:val="28"/>
              <w:lang w:eastAsia="zh-CN"/>
            </w:rPr>
            <w:t>（二）加快发展新能源，积极培育新产业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7EA411B">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"_Toc183187299" </w:instrText>
          </w:r>
          <w:r>
            <w:fldChar w:fldCharType="separate"/>
          </w:r>
          <w:r>
            <w:rPr>
              <w:rStyle w:val="24"/>
              <w:rFonts w:ascii="Times New Roman" w:hAnsi="Times New Roman" w:eastAsia="仿宋" w:cs="Times New Roman"/>
              <w:spacing w:val="-2"/>
              <w:sz w:val="28"/>
              <w:szCs w:val="28"/>
              <w:lang w:eastAsia="zh-CN"/>
            </w:rPr>
            <w:t>（三）丰富“旅游+”新业态及健康产业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_Toc183187299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50</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0D0541E">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"_Toc183187300" </w:instrText>
          </w:r>
          <w:r>
            <w:fldChar w:fldCharType="separate"/>
          </w:r>
          <w:r>
            <w:rPr>
              <w:rStyle w:val="24"/>
              <w:rFonts w:ascii="Times New Roman" w:hAnsi="Times New Roman" w:eastAsia="仿宋" w:cs="Times New Roman"/>
              <w:sz w:val="28"/>
              <w:szCs w:val="28"/>
              <w:lang w:eastAsia="zh-CN"/>
            </w:rPr>
            <w:t>三、双措施促进能源结构优化</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337DC4A">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"_Toc183187301" </w:instrText>
          </w:r>
          <w:r>
            <w:fldChar w:fldCharType="separate"/>
          </w:r>
          <w:r>
            <w:rPr>
              <w:rStyle w:val="24"/>
              <w:rFonts w:ascii="Times New Roman" w:hAnsi="Times New Roman" w:eastAsia="仿宋" w:cs="Times New Roman"/>
              <w:spacing w:val="-2"/>
              <w:sz w:val="28"/>
              <w:szCs w:val="28"/>
              <w:lang w:eastAsia="zh-CN"/>
            </w:rPr>
            <w:t>（一）实施煤炭消费总量控制</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10AD11B">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"_Toc183187302" </w:instrText>
          </w:r>
          <w:r>
            <w:fldChar w:fldCharType="separate"/>
          </w:r>
          <w:r>
            <w:rPr>
              <w:rStyle w:val="24"/>
              <w:rFonts w:ascii="Times New Roman" w:hAnsi="Times New Roman" w:eastAsia="仿宋" w:cs="Times New Roman"/>
              <w:spacing w:val="-2"/>
              <w:sz w:val="28"/>
              <w:szCs w:val="28"/>
              <w:lang w:eastAsia="zh-CN"/>
            </w:rPr>
            <w:t>（二）提高清洁能源使用比例</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704EAEC">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"_Toc183187303" </w:instrText>
          </w:r>
          <w:r>
            <w:fldChar w:fldCharType="separate"/>
          </w:r>
          <w:r>
            <w:rPr>
              <w:rStyle w:val="24"/>
              <w:rFonts w:ascii="Times New Roman" w:hAnsi="Times New Roman" w:eastAsia="仿宋" w:cs="Times New Roman"/>
              <w:sz w:val="28"/>
              <w:szCs w:val="28"/>
              <w:lang w:eastAsia="zh-CN"/>
            </w:rPr>
            <w:t>四、分层次调整运输物流体系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2B5521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"_Toc183187304" </w:instrText>
          </w:r>
          <w:r>
            <w:fldChar w:fldCharType="separate"/>
          </w:r>
          <w:r>
            <w:rPr>
              <w:rStyle w:val="24"/>
              <w:rFonts w:ascii="Times New Roman" w:hAnsi="Times New Roman" w:eastAsia="仿宋" w:cs="Times New Roman"/>
              <w:spacing w:val="-2"/>
              <w:sz w:val="28"/>
              <w:szCs w:val="28"/>
              <w:lang w:eastAsia="zh-CN"/>
            </w:rPr>
            <w:t>（一）构建陆路交通运输新格局</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11A83EF">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"_Toc183187305" </w:instrText>
          </w:r>
          <w:r>
            <w:fldChar w:fldCharType="separate"/>
          </w:r>
          <w:r>
            <w:rPr>
              <w:rStyle w:val="24"/>
              <w:rFonts w:ascii="Times New Roman" w:hAnsi="Times New Roman" w:eastAsia="仿宋" w:cs="Times New Roman"/>
              <w:spacing w:val="-2"/>
              <w:sz w:val="28"/>
              <w:szCs w:val="28"/>
              <w:lang w:eastAsia="zh-CN"/>
            </w:rPr>
            <w:t>（二）发展专业化综合物流体系</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1444A49">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"_Toc183187306" </w:instrText>
          </w:r>
          <w:r>
            <w:fldChar w:fldCharType="separate"/>
          </w:r>
          <w:r>
            <w:rPr>
              <w:rStyle w:val="24"/>
              <w:rFonts w:ascii="Times New Roman" w:hAnsi="Times New Roman" w:eastAsia="仿宋" w:cs="Times New Roman"/>
              <w:spacing w:val="-2"/>
              <w:sz w:val="28"/>
              <w:szCs w:val="28"/>
              <w:lang w:eastAsia="zh-CN"/>
            </w:rPr>
            <w:t>（三）探索物流综合服务新模式</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3E2798F">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"_Toc183187307" </w:instrText>
          </w:r>
          <w:r>
            <w:fldChar w:fldCharType="separate"/>
          </w:r>
          <w:r>
            <w:rPr>
              <w:rStyle w:val="24"/>
              <w:rFonts w:ascii="Times New Roman" w:hAnsi="Times New Roman" w:eastAsia="仿宋" w:cs="Times New Roman"/>
              <w:sz w:val="28"/>
              <w:szCs w:val="28"/>
              <w:lang w:eastAsia="zh-CN"/>
            </w:rPr>
            <w:t>五、多系统提高清洁生产水平</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25E2EC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"_Toc183187308" </w:instrText>
          </w:r>
          <w:r>
            <w:fldChar w:fldCharType="separate"/>
          </w:r>
          <w:r>
            <w:rPr>
              <w:rStyle w:val="24"/>
              <w:rFonts w:ascii="Times New Roman" w:hAnsi="Times New Roman" w:eastAsia="仿宋" w:cs="Times New Roman"/>
              <w:spacing w:val="-2"/>
              <w:sz w:val="28"/>
              <w:szCs w:val="28"/>
              <w:lang w:eastAsia="zh-CN"/>
            </w:rPr>
            <w:t>（一）推动农牧业清洁化生产</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23566BE">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"_Toc183187309" </w:instrText>
          </w:r>
          <w:r>
            <w:fldChar w:fldCharType="separate"/>
          </w:r>
          <w:r>
            <w:rPr>
              <w:rStyle w:val="24"/>
              <w:rFonts w:ascii="Times New Roman" w:hAnsi="Times New Roman" w:eastAsia="仿宋" w:cs="Times New Roman"/>
              <w:spacing w:val="-2"/>
              <w:sz w:val="28"/>
              <w:szCs w:val="28"/>
              <w:lang w:eastAsia="zh-CN"/>
            </w:rPr>
            <w:t>（二）提高资源开发利用效率</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_Toc183187309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5B34C13">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"_Toc183187310" </w:instrText>
          </w:r>
          <w:r>
            <w:fldChar w:fldCharType="separate"/>
          </w:r>
          <w:r>
            <w:rPr>
              <w:rStyle w:val="24"/>
              <w:rFonts w:ascii="Times New Roman" w:hAnsi="Times New Roman" w:eastAsia="仿宋" w:cs="Times New Roman"/>
              <w:spacing w:val="-2"/>
              <w:sz w:val="28"/>
              <w:szCs w:val="28"/>
              <w:lang w:eastAsia="zh-CN"/>
            </w:rPr>
            <w:t>（三）推动节能减排技术应用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A7A23CF">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"_Toc183187311" </w:instrText>
          </w:r>
          <w:r>
            <w:fldChar w:fldCharType="separate"/>
          </w:r>
          <w:r>
            <w:rPr>
              <w:rStyle w:val="24"/>
              <w:rFonts w:ascii="Times New Roman" w:hAnsi="Times New Roman" w:eastAsia="仿宋" w:cs="Times New Roman"/>
              <w:spacing w:val="-2"/>
              <w:sz w:val="28"/>
              <w:szCs w:val="28"/>
              <w:lang w:eastAsia="zh-CN"/>
            </w:rPr>
            <w:t>（四）加快交通运输绿色发展</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ABC8ACC">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"_Toc183187312" </w:instrText>
          </w:r>
          <w:r>
            <w:fldChar w:fldCharType="separate"/>
          </w:r>
          <w:r>
            <w:rPr>
              <w:rStyle w:val="24"/>
              <w:rFonts w:ascii="Times New Roman" w:hAnsi="Times New Roman" w:eastAsia="仿宋" w:cs="Times New Roman"/>
              <w:sz w:val="28"/>
              <w:szCs w:val="28"/>
              <w:lang w:eastAsia="zh-CN"/>
            </w:rPr>
            <w:t>六、积极推进园区循环化改造</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55</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E25A2B5">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"_Toc183187313" </w:instrText>
          </w:r>
          <w:r>
            <w:fldChar w:fldCharType="separate"/>
          </w:r>
          <w:r>
            <w:rPr>
              <w:rStyle w:val="24"/>
              <w:rFonts w:ascii="Times New Roman" w:hAnsi="Times New Roman" w:eastAsia="仿宋" w:cs="Times New Roman"/>
              <w:sz w:val="28"/>
              <w:szCs w:val="28"/>
            </w:rPr>
            <w:t>第七章 生态文化体系建设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4DFB120">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"_Toc183187314" </w:instrText>
          </w:r>
          <w:r>
            <w:fldChar w:fldCharType="separate"/>
          </w:r>
          <w:r>
            <w:rPr>
              <w:rStyle w:val="24"/>
              <w:rFonts w:ascii="Times New Roman" w:hAnsi="Times New Roman" w:eastAsia="仿宋" w:cs="Times New Roman"/>
              <w:sz w:val="28"/>
              <w:szCs w:val="28"/>
              <w:lang w:eastAsia="zh-CN"/>
            </w:rPr>
            <w:t>一、多维度营造绿色生态文化</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49AFB62">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"_Toc183187315" </w:instrText>
          </w:r>
          <w:r>
            <w:fldChar w:fldCharType="separate"/>
          </w:r>
          <w:r>
            <w:rPr>
              <w:rStyle w:val="24"/>
              <w:rFonts w:ascii="Times New Roman" w:hAnsi="Times New Roman" w:eastAsia="仿宋" w:cs="Times New Roman"/>
              <w:spacing w:val="-2"/>
              <w:sz w:val="28"/>
              <w:szCs w:val="28"/>
              <w:lang w:eastAsia="zh-CN"/>
            </w:rPr>
            <w:t>（一）</w:t>
          </w:r>
          <w:r>
            <w:rPr>
              <w:rStyle w:val="24"/>
              <w:rFonts w:ascii="Times New Roman" w:hAnsi="Times New Roman" w:eastAsia="仿宋" w:cs="Times New Roman"/>
              <w:spacing w:val="-2"/>
              <w:sz w:val="28"/>
              <w:szCs w:val="28"/>
              <w:lang w:val="zh-CN" w:eastAsia="zh-CN"/>
            </w:rPr>
            <w:t>优化城乡生态绿地空间格局</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68AAA183">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"_Toc183187316" </w:instrText>
          </w:r>
          <w:r>
            <w:fldChar w:fldCharType="separate"/>
          </w:r>
          <w:r>
            <w:rPr>
              <w:rStyle w:val="24"/>
              <w:rFonts w:ascii="Times New Roman" w:hAnsi="Times New Roman" w:eastAsia="仿宋" w:cs="Times New Roman"/>
              <w:spacing w:val="-2"/>
              <w:sz w:val="28"/>
              <w:szCs w:val="28"/>
              <w:lang w:val="zh-CN" w:eastAsia="zh-CN"/>
            </w:rPr>
            <w:t>（</w:t>
          </w:r>
          <w:r>
            <w:rPr>
              <w:rStyle w:val="24"/>
              <w:rFonts w:ascii="Times New Roman" w:hAnsi="Times New Roman" w:eastAsia="仿宋" w:cs="Times New Roman"/>
              <w:spacing w:val="-2"/>
              <w:sz w:val="28"/>
              <w:szCs w:val="28"/>
              <w:lang w:eastAsia="zh-CN"/>
            </w:rPr>
            <w:t>二</w:t>
          </w:r>
          <w:r>
            <w:rPr>
              <w:rStyle w:val="24"/>
              <w:rFonts w:ascii="Times New Roman" w:hAnsi="Times New Roman" w:eastAsia="仿宋" w:cs="Times New Roman"/>
              <w:spacing w:val="-2"/>
              <w:sz w:val="28"/>
              <w:szCs w:val="28"/>
              <w:lang w:val="zh-CN" w:eastAsia="zh-CN"/>
            </w:rPr>
            <w:t>）构建生态宜居的绿色社区</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503004B">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"_Toc183187317" </w:instrText>
          </w:r>
          <w:r>
            <w:fldChar w:fldCharType="separate"/>
          </w:r>
          <w:r>
            <w:rPr>
              <w:rStyle w:val="24"/>
              <w:rFonts w:ascii="Times New Roman" w:hAnsi="Times New Roman" w:eastAsia="仿宋" w:cs="Times New Roman"/>
              <w:spacing w:val="-2"/>
              <w:sz w:val="28"/>
              <w:szCs w:val="28"/>
              <w:lang w:eastAsia="zh-CN"/>
            </w:rPr>
            <w:t>（三）</w:t>
          </w:r>
          <w:r>
            <w:rPr>
              <w:rStyle w:val="24"/>
              <w:rFonts w:ascii="Times New Roman" w:hAnsi="Times New Roman" w:eastAsia="仿宋" w:cs="Times New Roman"/>
              <w:spacing w:val="-2"/>
              <w:sz w:val="28"/>
              <w:szCs w:val="28"/>
              <w:lang w:val="zh-CN" w:eastAsia="zh-CN"/>
            </w:rPr>
            <w:t>全面推行绿色生产生活方式，构建低碳节约型社会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0F2F380F">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"_Toc183187318" </w:instrText>
          </w:r>
          <w:r>
            <w:fldChar w:fldCharType="separate"/>
          </w:r>
          <w:r>
            <w:rPr>
              <w:rStyle w:val="24"/>
              <w:rFonts w:ascii="Times New Roman" w:hAnsi="Times New Roman" w:eastAsia="仿宋" w:cs="Times New Roman"/>
              <w:sz w:val="28"/>
              <w:szCs w:val="28"/>
              <w:lang w:eastAsia="zh-CN"/>
            </w:rPr>
            <w:t>二、多举措加强生态文化体系建设</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1863FD6">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"_Toc183187319" </w:instrText>
          </w:r>
          <w:r>
            <w:fldChar w:fldCharType="separate"/>
          </w:r>
          <w:r>
            <w:rPr>
              <w:rStyle w:val="24"/>
              <w:rFonts w:ascii="Times New Roman" w:hAnsi="Times New Roman" w:eastAsia="仿宋" w:cs="Times New Roman"/>
              <w:spacing w:val="-2"/>
              <w:sz w:val="28"/>
              <w:szCs w:val="28"/>
              <w:lang w:eastAsia="zh-CN"/>
            </w:rPr>
            <w:t>（一）守护好精神标识和文化遗存</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_Toc183187319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64BCAE9">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"_Toc183187320" </w:instrText>
          </w:r>
          <w:r>
            <w:fldChar w:fldCharType="separate"/>
          </w:r>
          <w:r>
            <w:rPr>
              <w:rStyle w:val="24"/>
              <w:rFonts w:ascii="Times New Roman" w:hAnsi="Times New Roman" w:eastAsia="仿宋" w:cs="Times New Roman"/>
              <w:spacing w:val="-2"/>
              <w:sz w:val="28"/>
              <w:szCs w:val="28"/>
              <w:lang w:eastAsia="zh-CN"/>
            </w:rPr>
            <w:t>（二）繁荣发展公共文化事业</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4B42224">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"_Toc183187321" </w:instrText>
          </w:r>
          <w:r>
            <w:fldChar w:fldCharType="separate"/>
          </w:r>
          <w:r>
            <w:rPr>
              <w:rStyle w:val="24"/>
              <w:rFonts w:ascii="Times New Roman" w:hAnsi="Times New Roman" w:eastAsia="仿宋" w:cs="Times New Roman"/>
              <w:spacing w:val="-2"/>
              <w:sz w:val="28"/>
              <w:szCs w:val="28"/>
              <w:lang w:eastAsia="zh-CN"/>
            </w:rPr>
            <w:t>（三）加强生态文明宣传教育</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D8E7C38">
          <w:pPr>
            <w:pStyle w:val="10"/>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"_Toc183187322" </w:instrText>
          </w:r>
          <w:r>
            <w:fldChar w:fldCharType="separate"/>
          </w:r>
          <w:r>
            <w:rPr>
              <w:rStyle w:val="24"/>
              <w:rFonts w:ascii="Times New Roman" w:hAnsi="Times New Roman" w:eastAsia="仿宋" w:cs="Times New Roman"/>
              <w:spacing w:val="-2"/>
              <w:sz w:val="28"/>
              <w:szCs w:val="28"/>
              <w:lang w:eastAsia="zh-CN"/>
            </w:rPr>
            <w:t>（四）促进生态文明共建共享</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61</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E405293">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"_Toc183187323" </w:instrText>
          </w:r>
          <w:r>
            <w:fldChar w:fldCharType="separate"/>
          </w:r>
          <w:r>
            <w:rPr>
              <w:rStyle w:val="24"/>
              <w:rFonts w:ascii="Times New Roman" w:hAnsi="Times New Roman" w:eastAsia="仿宋" w:cs="Times New Roman"/>
              <w:sz w:val="28"/>
              <w:szCs w:val="28"/>
            </w:rPr>
            <w:t>第八章 重点工程与效益分析</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4ACB043">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"_Toc183187324" </w:instrText>
          </w:r>
          <w:r>
            <w:fldChar w:fldCharType="separate"/>
          </w:r>
          <w:r>
            <w:rPr>
              <w:rStyle w:val="24"/>
              <w:rFonts w:ascii="Times New Roman" w:hAnsi="Times New Roman" w:eastAsia="仿宋" w:cs="Times New Roman"/>
              <w:sz w:val="28"/>
              <w:szCs w:val="28"/>
              <w:lang w:eastAsia="zh-CN"/>
            </w:rPr>
            <w:t>一、工程内容与投资估算</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2FF2D288">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"_Toc183187325" </w:instrText>
          </w:r>
          <w:r>
            <w:fldChar w:fldCharType="separate"/>
          </w:r>
          <w:r>
            <w:rPr>
              <w:rStyle w:val="24"/>
              <w:rFonts w:ascii="Times New Roman" w:hAnsi="Times New Roman" w:eastAsia="仿宋" w:cs="Times New Roman"/>
              <w:sz w:val="28"/>
              <w:szCs w:val="28"/>
              <w:lang w:eastAsia="zh-CN"/>
            </w:rPr>
            <w:t>二、效益分析</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_Toc183187325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64</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11837D3B">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"_Toc183187326" </w:instrText>
          </w:r>
          <w:r>
            <w:fldChar w:fldCharType="separate"/>
          </w:r>
          <w:r>
            <w:rPr>
              <w:rStyle w:val="24"/>
              <w:rFonts w:ascii="Times New Roman" w:hAnsi="Times New Roman" w:eastAsia="仿宋" w:cs="Times New Roman"/>
              <w:sz w:val="28"/>
              <w:szCs w:val="28"/>
            </w:rPr>
            <w:t>第九章 保障措施</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_Toc183187326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C680165">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"_Toc183187327" </w:instrText>
          </w:r>
          <w:r>
            <w:fldChar w:fldCharType="separate"/>
          </w:r>
          <w:r>
            <w:rPr>
              <w:rStyle w:val="24"/>
              <w:rFonts w:ascii="Times New Roman" w:hAnsi="Times New Roman" w:eastAsia="仿宋" w:cs="Times New Roman"/>
              <w:sz w:val="28"/>
              <w:szCs w:val="28"/>
              <w:lang w:eastAsia="zh-CN"/>
            </w:rPr>
            <w:t>一、</w:t>
          </w:r>
          <w:r>
            <w:rPr>
              <w:rStyle w:val="24"/>
              <w:rFonts w:ascii="Times New Roman" w:hAnsi="Times New Roman" w:eastAsia="仿宋" w:cs="Times New Roman"/>
              <w:sz w:val="28"/>
              <w:szCs w:val="28"/>
              <w:lang w:val="zh-CN" w:eastAsia="zh-CN"/>
            </w:rPr>
            <w:t>组织领导</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_Toc183187327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3D0A6C0A">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"_Toc183187328" </w:instrText>
          </w:r>
          <w:r>
            <w:fldChar w:fldCharType="separate"/>
          </w:r>
          <w:r>
            <w:rPr>
              <w:rStyle w:val="24"/>
              <w:rFonts w:ascii="Times New Roman" w:hAnsi="Times New Roman" w:eastAsia="仿宋" w:cs="Times New Roman"/>
              <w:sz w:val="28"/>
              <w:szCs w:val="28"/>
              <w:lang w:eastAsia="zh-CN"/>
            </w:rPr>
            <w:t>二</w:t>
          </w:r>
          <w:r>
            <w:rPr>
              <w:rStyle w:val="24"/>
              <w:rFonts w:ascii="Times New Roman" w:hAnsi="Times New Roman" w:eastAsia="仿宋" w:cs="Times New Roman"/>
              <w:sz w:val="28"/>
              <w:szCs w:val="28"/>
              <w:lang w:val="zh-CN" w:eastAsia="zh-CN"/>
            </w:rPr>
            <w:t>、监督考核</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_Toc183187328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66</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3DF8849">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"_Toc183187329" </w:instrText>
          </w:r>
          <w:r>
            <w:fldChar w:fldCharType="separate"/>
          </w:r>
          <w:r>
            <w:rPr>
              <w:rStyle w:val="24"/>
              <w:rFonts w:ascii="Times New Roman" w:hAnsi="Times New Roman" w:eastAsia="仿宋" w:cs="Times New Roman"/>
              <w:sz w:val="28"/>
              <w:szCs w:val="28"/>
              <w:lang w:eastAsia="zh-CN"/>
            </w:rPr>
            <w:t>三、</w:t>
          </w:r>
          <w:r>
            <w:rPr>
              <w:rStyle w:val="24"/>
              <w:rFonts w:ascii="Times New Roman" w:hAnsi="Times New Roman" w:eastAsia="仿宋" w:cs="Times New Roman"/>
              <w:sz w:val="28"/>
              <w:szCs w:val="28"/>
              <w:lang w:val="zh-CN" w:eastAsia="zh-CN"/>
            </w:rPr>
            <w:t>资金统筹</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_Toc183187329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17C2B64">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"_Toc183187330" </w:instrText>
          </w:r>
          <w:r>
            <w:fldChar w:fldCharType="separate"/>
          </w:r>
          <w:r>
            <w:rPr>
              <w:rStyle w:val="24"/>
              <w:rFonts w:ascii="Times New Roman" w:hAnsi="Times New Roman" w:eastAsia="仿宋" w:cs="Times New Roman"/>
              <w:sz w:val="28"/>
              <w:szCs w:val="28"/>
              <w:lang w:eastAsia="zh-CN"/>
            </w:rPr>
            <w:t>四、</w:t>
          </w:r>
          <w:r>
            <w:rPr>
              <w:rStyle w:val="24"/>
              <w:rFonts w:ascii="Times New Roman" w:hAnsi="Times New Roman" w:eastAsia="仿宋" w:cs="Times New Roman"/>
              <w:sz w:val="28"/>
              <w:szCs w:val="28"/>
              <w:lang w:val="zh-CN" w:eastAsia="zh-CN"/>
            </w:rPr>
            <w:t>科技创新</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_Toc183187330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67</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5399711F">
          <w:pPr>
            <w:pStyle w:val="18"/>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"_Toc183187331" </w:instrText>
          </w:r>
          <w:r>
            <w:fldChar w:fldCharType="separate"/>
          </w:r>
          <w:r>
            <w:rPr>
              <w:rStyle w:val="24"/>
              <w:rFonts w:ascii="Times New Roman" w:hAnsi="Times New Roman" w:eastAsia="仿宋" w:cs="Times New Roman"/>
              <w:sz w:val="28"/>
              <w:szCs w:val="28"/>
              <w:lang w:val="zh-CN" w:eastAsia="zh-CN"/>
            </w:rPr>
            <w:t>五、社会参与</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_Toc183187331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0958B47">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"_Toc183187332" </w:instrText>
          </w:r>
          <w:r>
            <w:fldChar w:fldCharType="separate"/>
          </w:r>
          <w:r>
            <w:rPr>
              <w:rStyle w:val="24"/>
              <w:rFonts w:ascii="Times New Roman" w:hAnsi="Times New Roman" w:eastAsia="仿宋" w:cs="Times New Roman"/>
              <w:sz w:val="28"/>
              <w:szCs w:val="28"/>
            </w:rPr>
            <w:t>附表1 生态安全体系建设工程表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_Toc183187332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69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40CF48A">
          <w:pPr>
            <w:pStyle w:val="15"/>
            <w:tabs>
              <w:tab w:val="right" w:leader="dot" w:pos="8306"/>
            </w:tabs>
            <w:spacing w:line="360" w:lineRule="auto"/>
            <w:rPr>
              <w:rFonts w:ascii="Times New Roman" w:hAnsi="Times New Roman" w:eastAsia="仿宋" w:cs="Times New Roman"/>
              <w:snapToGrid/>
              <w:color w:val="auto"/>
              <w:kern w:val="2"/>
              <w:sz w:val="28"/>
              <w:szCs w:val="28"/>
              <w:lang w:eastAsia="zh-CN"/>
              <w14:ligatures w14:val="standardContextual"/>
            </w:rPr>
          </w:pPr>
          <w:r>
            <w:fldChar w:fldCharType="begin"/>
          </w:r>
          <w:r>
            <w:instrText xml:space="preserve"> HYPERLINK \l "_Toc183187333" </w:instrText>
          </w:r>
          <w:r>
            <w:fldChar w:fldCharType="separate"/>
          </w:r>
          <w:r>
            <w:rPr>
              <w:rStyle w:val="24"/>
              <w:rFonts w:ascii="Times New Roman" w:hAnsi="Times New Roman" w:eastAsia="仿宋" w:cs="Times New Roman"/>
              <w:sz w:val="28"/>
              <w:szCs w:val="28"/>
            </w:rPr>
            <w:t>附表2 生态经济体系建设工程表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_Toc183187333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72</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400E327E">
          <w:pPr>
            <w:pStyle w:val="15"/>
            <w:tabs>
              <w:tab w:val="right" w:leader="dot" w:pos="8306"/>
            </w:tabs>
            <w:spacing w:line="360" w:lineRule="auto"/>
            <w:rPr>
              <w:rFonts w:ascii="Times New Roman" w:hAnsi="Times New Roman" w:cs="Times New Roman" w:eastAsiaTheme="minorEastAsia"/>
              <w:snapToGrid/>
              <w:color w:val="auto"/>
              <w:kern w:val="2"/>
              <w:szCs w:val="22"/>
              <w:lang w:eastAsia="zh-CN"/>
              <w14:ligatures w14:val="standardContextual"/>
            </w:rPr>
          </w:pPr>
          <w:r>
            <w:fldChar w:fldCharType="begin"/>
          </w:r>
          <w:r>
            <w:instrText xml:space="preserve"> HYPERLINK \l "_Toc183187334" </w:instrText>
          </w:r>
          <w:r>
            <w:fldChar w:fldCharType="separate"/>
          </w:r>
          <w:r>
            <w:rPr>
              <w:rStyle w:val="24"/>
              <w:rFonts w:ascii="Times New Roman" w:hAnsi="Times New Roman" w:eastAsia="仿宋" w:cs="Times New Roman"/>
              <w:sz w:val="28"/>
              <w:szCs w:val="28"/>
            </w:rPr>
            <w:t>附表3 生态文化体系建设工程表</w:t>
          </w:r>
          <w:r>
            <w:rPr>
              <w:rFonts w:ascii="Times New Roman" w:hAnsi="Times New Roman" w:eastAsia="仿宋" w:cs="Times New Roman"/>
              <w:sz w:val="28"/>
              <w:szCs w:val="28"/>
            </w:rPr>
            <w:tab/>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PAGEREF _Toc183187334 \h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73</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fldChar w:fldCharType="end"/>
          </w:r>
        </w:p>
        <w:p w14:paraId="798B95F4">
          <w:pPr>
            <w:spacing w:line="360" w:lineRule="auto"/>
            <w:rPr>
              <w:rFonts w:ascii="Times New Roman" w:hAnsi="Times New Roman" w:cs="Times New Roman"/>
            </w:rPr>
          </w:pPr>
          <w:r>
            <w:rPr>
              <w:rFonts w:ascii="Times New Roman" w:hAnsi="Times New Roman" w:eastAsia="仿宋" w:cs="Times New Roman"/>
              <w:bCs/>
              <w:sz w:val="28"/>
              <w:szCs w:val="28"/>
              <w:lang w:val="zh-CN"/>
            </w:rPr>
            <w:fldChar w:fldCharType="end"/>
          </w:r>
        </w:p>
      </w:sdtContent>
    </w:sdt>
    <w:p w14:paraId="7B049B70">
      <w:pPr>
        <w:pStyle w:val="20"/>
        <w:widowControl w:val="0"/>
        <w:spacing w:line="560" w:lineRule="exact"/>
        <w:jc w:val="both"/>
        <w:rPr>
          <w:rFonts w:ascii="Times New Roman" w:hAnsi="Times New Roman" w:cs="Times New Roman" w:eastAsiaTheme="minorEastAsia"/>
          <w:color w:val="auto"/>
          <w:lang w:eastAsia="zh-CN"/>
        </w:rPr>
        <w:sectPr>
          <w:footerReference r:id="rId4" w:type="default"/>
          <w:type w:val="nextColumn"/>
          <w:pgSz w:w="11910" w:h="16840"/>
          <w:pgMar w:top="1440" w:right="1797" w:bottom="1440" w:left="1797" w:header="1020" w:footer="1020" w:gutter="0"/>
          <w:pgNumType w:fmt="lowerRoman" w:start="1"/>
          <w:cols w:space="720" w:num="1"/>
          <w:docGrid w:linePitch="286" w:charSpace="0"/>
        </w:sectPr>
      </w:pPr>
    </w:p>
    <w:p w14:paraId="7ACC03CE">
      <w:pPr>
        <w:pStyle w:val="2"/>
        <w:jc w:val="center"/>
        <w:rPr>
          <w:rFonts w:hint="default" w:ascii="Times New Roman" w:hAnsi="Times New Roman"/>
          <w:color w:val="auto"/>
        </w:rPr>
      </w:pPr>
      <w:bookmarkStart w:id="27" w:name="bookmark3"/>
      <w:bookmarkEnd w:id="27"/>
      <w:bookmarkStart w:id="28" w:name="bookmark8"/>
      <w:bookmarkEnd w:id="28"/>
      <w:bookmarkStart w:id="29" w:name="bookmark6"/>
      <w:bookmarkEnd w:id="29"/>
      <w:bookmarkStart w:id="30" w:name="bookmark4"/>
      <w:bookmarkEnd w:id="30"/>
      <w:bookmarkStart w:id="31" w:name="_Toc183187217"/>
      <w:r>
        <w:rPr>
          <w:rFonts w:hint="default" w:ascii="Times New Roman" w:hAnsi="Times New Roman"/>
          <w:color w:val="auto"/>
        </w:rPr>
        <w:t>第一章 创建基础与面临形势</w:t>
      </w:r>
      <w:bookmarkEnd w:id="31"/>
    </w:p>
    <w:p w14:paraId="49785E57">
      <w:pPr>
        <w:pStyle w:val="3"/>
        <w:rPr>
          <w:rFonts w:ascii="Times New Roman" w:hAnsi="Times New Roman" w:cs="Times New Roman"/>
          <w:snapToGrid/>
          <w:szCs w:val="30"/>
          <w:lang w:eastAsia="zh-CN"/>
        </w:rPr>
      </w:pPr>
      <w:bookmarkStart w:id="32" w:name="bookmark5"/>
      <w:bookmarkEnd w:id="32"/>
      <w:bookmarkStart w:id="33" w:name="_Toc183187218"/>
      <w:r>
        <w:rPr>
          <w:rFonts w:ascii="Times New Roman" w:hAnsi="Times New Roman" w:cs="Times New Roman"/>
          <w:lang w:eastAsia="zh-CN"/>
        </w:rPr>
        <w:t>一、创建基础</w:t>
      </w:r>
      <w:bookmarkEnd w:id="33"/>
    </w:p>
    <w:p w14:paraId="29990BFB">
      <w:pPr>
        <w:spacing w:line="560" w:lineRule="exact"/>
        <w:ind w:firstLine="562" w:firstLineChars="200"/>
        <w:jc w:val="both"/>
        <w:outlineLvl w:val="2"/>
        <w:rPr>
          <w:rFonts w:ascii="Times New Roman" w:hAnsi="Times New Roman" w:eastAsia="仿宋" w:cs="Times New Roman"/>
          <w:b/>
          <w:bCs/>
          <w:sz w:val="28"/>
          <w:szCs w:val="28"/>
          <w:lang w:eastAsia="zh-CN"/>
        </w:rPr>
      </w:pPr>
      <w:bookmarkStart w:id="34" w:name="_Toc183187219"/>
      <w:r>
        <w:rPr>
          <w:rFonts w:ascii="Times New Roman" w:hAnsi="Times New Roman" w:eastAsia="仿宋" w:cs="Times New Roman"/>
          <w:b/>
          <w:bCs/>
          <w:sz w:val="28"/>
          <w:szCs w:val="28"/>
          <w:lang w:eastAsia="zh-CN"/>
        </w:rPr>
        <w:t>（一）生态区位极为重要</w:t>
      </w:r>
      <w:bookmarkEnd w:id="34"/>
    </w:p>
    <w:p w14:paraId="0E3530AD">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内蒙古自治区地处祖国北疆，与蒙古国和俄罗斯接壤，毗邻八个省区，横跨“三北”，是我国北方面积最大、种类最全的生态功能区，同时是中国治理荒漠化的主战场，“三北”工程三大标志性战役中有“两个半”在内蒙古，60%以上的沙化土地治理任务在内蒙古，其生态状况不仅关系内蒙古全区各族群众生存和发展，更关系华北、东北、西北乃至全国生态安全，战略定位为我国北方重要生态安全屏障。赤峰市位于内蒙古自治区东南部，地域辽阔，自然资源丰富、生物多样。翁牛特旗位于赤峰市中部，在环渤海经济圈辐射范围之内，距离北京仅500公里左右，境内有草原、沙漠、湿地、湖泊、河流、森林等生态系统，有着生态系统种类齐全的优势。翁牛特旗地处大兴安岭西南段与七老图北端山脉截接地带，西辽河上游、科尔沁沙地西缘，沙化土地面积达667万亩，占全旗总面积的37.4%，占赤峰市科尔沁沙地面积的38.3%，占整个科尔沁沙地总面积的12.2%，是赤峰市境内沙地面积最大、治理最难的地区，是“三北”攻坚战中科尔沁沙地歼灭区的“主战场”。</w:t>
      </w:r>
    </w:p>
    <w:p w14:paraId="129AE3A9">
      <w:pPr>
        <w:spacing w:line="560" w:lineRule="exact"/>
        <w:ind w:firstLine="562" w:firstLineChars="200"/>
        <w:jc w:val="both"/>
        <w:outlineLvl w:val="2"/>
        <w:rPr>
          <w:rFonts w:ascii="Times New Roman" w:hAnsi="Times New Roman" w:eastAsia="仿宋" w:cs="Times New Roman"/>
          <w:b/>
          <w:bCs/>
          <w:sz w:val="28"/>
          <w:szCs w:val="28"/>
          <w:lang w:eastAsia="zh-CN"/>
        </w:rPr>
      </w:pPr>
      <w:bookmarkStart w:id="35" w:name="_Toc183187220"/>
      <w:r>
        <w:rPr>
          <w:rFonts w:ascii="Times New Roman" w:hAnsi="Times New Roman" w:eastAsia="仿宋" w:cs="Times New Roman"/>
          <w:b/>
          <w:bCs/>
          <w:sz w:val="28"/>
          <w:szCs w:val="28"/>
          <w:lang w:eastAsia="zh-CN"/>
        </w:rPr>
        <w:t>（二）生态环境保护建设成效显著</w:t>
      </w:r>
      <w:bookmarkEnd w:id="35"/>
    </w:p>
    <w:p w14:paraId="5B1C76FA">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统筹推进山水林田湖草沙系统治理，组织实施京津风沙源治理一期工程、退耕还林工程、森林生态效益补偿工程、沙化土地封禁保护区建设工程、重点区域绿化工程等重点生态工程建设。实施了“两山一河多节点”（敖包山、西山、少郎河）综合治理生态工程。持续开展“绿盾”自然保护地监督，严格开发建设活动清理整顿。水土保持生态修复效果明显，全旗土地沙化、退化的局面得到有效控制。</w:t>
      </w:r>
    </w:p>
    <w:p w14:paraId="6E0D3194">
      <w:pPr>
        <w:spacing w:line="560" w:lineRule="exact"/>
        <w:ind w:firstLine="562" w:firstLineChars="200"/>
        <w:jc w:val="both"/>
        <w:outlineLvl w:val="2"/>
        <w:rPr>
          <w:rFonts w:ascii="Times New Roman" w:hAnsi="Times New Roman" w:eastAsia="仿宋" w:cs="Times New Roman"/>
          <w:b/>
          <w:bCs/>
          <w:sz w:val="28"/>
          <w:szCs w:val="28"/>
          <w:lang w:eastAsia="zh-CN"/>
        </w:rPr>
      </w:pPr>
      <w:bookmarkStart w:id="36" w:name="_Toc183187221"/>
      <w:r>
        <w:rPr>
          <w:rFonts w:ascii="Times New Roman" w:hAnsi="Times New Roman" w:eastAsia="仿宋" w:cs="Times New Roman"/>
          <w:b/>
          <w:bCs/>
          <w:sz w:val="28"/>
          <w:szCs w:val="28"/>
          <w:lang w:eastAsia="zh-CN"/>
        </w:rPr>
        <w:t>（三）生态环境质量逐年改善</w:t>
      </w:r>
      <w:bookmarkEnd w:id="36"/>
    </w:p>
    <w:p w14:paraId="0B33F607">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bCs/>
          <w:sz w:val="28"/>
          <w:szCs w:val="28"/>
          <w:lang w:eastAsia="zh-CN"/>
        </w:rPr>
        <w:t>1. 水环境质量逐年提升。</w:t>
      </w:r>
      <w:r>
        <w:rPr>
          <w:rFonts w:ascii="Times New Roman" w:hAnsi="Times New Roman" w:eastAsia="仿宋" w:cs="Times New Roman"/>
          <w:sz w:val="28"/>
          <w:szCs w:val="28"/>
          <w:lang w:eastAsia="zh-CN"/>
        </w:rPr>
        <w:t>全面推行河湖长制。重点开展入河排污口整治和监管。大力实施巡河巡湖行动，利用无人机进行河道巡查，对全旗工业、农业、服务业沿岸用水、排水情况进行排查。深入城镇生活污水治理、强化工业污染防治。持续加强饮用水水源保护区及地下水环境保护力度，持续推进城镇饮用水源地规范化建设。翁牛特旗国考断面2021年、2022年、2023年水质达标率均为100%，优良率分别为67%、60%和67%。城区水源地水质达标率100%。全旗无黑臭水体。</w:t>
      </w:r>
    </w:p>
    <w:p w14:paraId="63721660">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bCs/>
          <w:sz w:val="28"/>
          <w:szCs w:val="28"/>
          <w:lang w:eastAsia="zh-CN"/>
        </w:rPr>
        <w:t>2. 环境空气质量稳定在较高水平。</w:t>
      </w:r>
      <w:r>
        <w:rPr>
          <w:rFonts w:ascii="Times New Roman" w:hAnsi="Times New Roman" w:eastAsia="仿宋" w:cs="Times New Roman"/>
          <w:sz w:val="28"/>
          <w:szCs w:val="28"/>
          <w:lang w:eastAsia="zh-CN"/>
        </w:rPr>
        <w:t>全面开展燃煤锅炉综合整治，开展“散乱污”企业整治工作。修编重污染天气应急预案，与气象签订了生态环境保护与气象预报预警服务联动工作机制合作协议，做好重污染天气预警工作，确保应急管控工作有序实施。2018年以来翁牛特旗大气环境质量为优（达到一级质量标准）的天数逐年递增，由2018年的338天增加到2022年的349天，2023年稍有回落，但仍保持在较高水平，优良率仍保持在占全年比重达到90%以上。2023年PM2.5浓度为14μg/m</w:t>
      </w:r>
      <w:r>
        <w:rPr>
          <w:rFonts w:ascii="Times New Roman" w:hAnsi="Times New Roman" w:eastAsia="仿宋" w:cs="Times New Roman"/>
          <w:sz w:val="28"/>
          <w:szCs w:val="28"/>
          <w:vertAlign w:val="superscript"/>
          <w:lang w:eastAsia="zh-CN"/>
        </w:rPr>
        <w:t>3</w:t>
      </w:r>
      <w:r>
        <w:rPr>
          <w:rFonts w:ascii="Times New Roman" w:hAnsi="Times New Roman" w:eastAsia="仿宋" w:cs="Times New Roman"/>
          <w:sz w:val="28"/>
          <w:szCs w:val="28"/>
          <w:lang w:eastAsia="zh-CN"/>
        </w:rPr>
        <w:t>，完成上级规定的考核任务。</w:t>
      </w:r>
    </w:p>
    <w:p w14:paraId="2AD144AE">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bCs/>
          <w:sz w:val="28"/>
          <w:szCs w:val="28"/>
          <w:lang w:eastAsia="zh-CN"/>
        </w:rPr>
        <w:t>3. 生态环境质量逐渐改善。</w:t>
      </w:r>
      <w:r>
        <w:rPr>
          <w:rFonts w:ascii="Times New Roman" w:hAnsi="Times New Roman" w:eastAsia="仿宋" w:cs="Times New Roman"/>
          <w:sz w:val="28"/>
          <w:szCs w:val="28"/>
          <w:lang w:eastAsia="zh-CN"/>
        </w:rPr>
        <w:t>深入扎实推进土壤污染防治工作，农用地和建设用地土壤环境安全得到基本保障。统筹推进草原、科尔沁沙地等重点区域修复治理，2018-2022年，草原综合植被盖度由60%提升至62.9%，森林植被覆盖度由原来的28.5%提升至29.68%；落实草畜平衡面积3794204.151亩，天然草原载畜量连续三年实现负增长。</w:t>
      </w:r>
    </w:p>
    <w:p w14:paraId="39449EF4">
      <w:pPr>
        <w:spacing w:line="560" w:lineRule="exact"/>
        <w:ind w:firstLine="562" w:firstLineChars="200"/>
        <w:jc w:val="both"/>
        <w:outlineLvl w:val="2"/>
        <w:rPr>
          <w:rFonts w:ascii="Times New Roman" w:hAnsi="Times New Roman" w:eastAsia="仿宋" w:cs="Times New Roman"/>
          <w:b/>
          <w:bCs/>
          <w:sz w:val="28"/>
          <w:szCs w:val="28"/>
          <w:lang w:eastAsia="zh-CN"/>
        </w:rPr>
      </w:pPr>
      <w:bookmarkStart w:id="37" w:name="_Toc183187222"/>
      <w:r>
        <w:rPr>
          <w:rFonts w:ascii="Times New Roman" w:hAnsi="Times New Roman" w:eastAsia="仿宋" w:cs="Times New Roman"/>
          <w:b/>
          <w:bCs/>
          <w:sz w:val="28"/>
          <w:szCs w:val="28"/>
          <w:lang w:eastAsia="zh-CN"/>
        </w:rPr>
        <w:t>（四）“以路治沙”效果显著</w:t>
      </w:r>
      <w:bookmarkEnd w:id="37"/>
    </w:p>
    <w:p w14:paraId="1892C505">
      <w:pPr>
        <w:spacing w:line="560" w:lineRule="exact"/>
        <w:ind w:firstLine="552" w:firstLineChars="200"/>
        <w:jc w:val="both"/>
        <w:rPr>
          <w:rFonts w:ascii="Times New Roman" w:hAnsi="Times New Roman" w:eastAsia="宋体" w:cs="Times New Roman"/>
          <w:lang w:eastAsia="zh-CN"/>
        </w:rPr>
      </w:pPr>
      <w:r>
        <w:rPr>
          <w:rFonts w:ascii="Times New Roman" w:hAnsi="Times New Roman" w:eastAsia="仿宋" w:cs="Times New Roman"/>
          <w:spacing w:val="-2"/>
          <w:sz w:val="28"/>
          <w:szCs w:val="28"/>
          <w:lang w:eastAsia="zh-CN"/>
        </w:rPr>
        <w:t>近年来，翁牛特旗依托京津风沙源治理、“三北”防护林体系建设等国家重点生态建设工程，创新体制机制，转变治理思路，组织实施以防沙治沙、植树种草为主的国土绿化工程。翁牛特旗通过多年的治沙经验，总结出“以路治沙”模式，将沙地细化分割成‘治理网格’。截止至目前，翁牛特旗已开通穿沙公路16条、总里程480公里，行程“六横十纵”治沙路网格体系，累积完成沙地综合治理578万亩。</w:t>
      </w:r>
    </w:p>
    <w:p w14:paraId="519D0424">
      <w:pPr>
        <w:spacing w:line="560" w:lineRule="exact"/>
        <w:ind w:firstLine="562" w:firstLineChars="200"/>
        <w:jc w:val="both"/>
        <w:outlineLvl w:val="2"/>
        <w:rPr>
          <w:rFonts w:ascii="Times New Roman" w:hAnsi="Times New Roman" w:eastAsia="仿宋" w:cs="Times New Roman"/>
          <w:b/>
          <w:bCs/>
          <w:sz w:val="28"/>
          <w:szCs w:val="28"/>
          <w:lang w:eastAsia="zh-CN"/>
        </w:rPr>
      </w:pPr>
      <w:bookmarkStart w:id="38" w:name="_Toc183187223"/>
      <w:r>
        <w:rPr>
          <w:rFonts w:ascii="Times New Roman" w:hAnsi="Times New Roman" w:eastAsia="仿宋" w:cs="Times New Roman"/>
          <w:b/>
          <w:bCs/>
          <w:sz w:val="28"/>
          <w:szCs w:val="28"/>
          <w:lang w:eastAsia="zh-CN"/>
        </w:rPr>
        <w:t>（五）生态文明制度体系现代化推进逐步形成</w:t>
      </w:r>
      <w:bookmarkEnd w:id="38"/>
    </w:p>
    <w:p w14:paraId="0FB4C32E">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近年来，翁牛特旗着力提升基础保障，强化制度完善落实，翁牛特旗人民政府、翁牛特旗人民政府办公室先后制定了《翁牛特旗各级党委和政府及有关部门生态环境保护责任清单》《翁牛特旗各级领导干部生态环境损害责任追究实施细则(试行) 》《翁牛特旗农村牧区生活垃圾集中治理行动实施方案》《赤峰市翁牛特旗行政区域突发环境事件应急预案》《2023年翁牛特旗义务治沙实施方案》《翁牛特旗打击毁林毁草专项行动实施方案》《翁牛特旗村庄河湖环境整治“春季”行动方案》《翁牛特旗“十四五”生态环境保护规划》《翁牛特旗节水型社会建设实施方案》《翁牛特旗禁牧休牧和草畜平衡管理实施方案》《翁牛特旗开展水资源、森林草原生态、环境保护治理普法活动实施方案》《翁牛特旗公共机构节能降耗工作方案》《翁牛特旗少郎河城区段河道管理办法》（翁政办发〔2018〕152号）等文件；翁牛特旗各职能部门先后制定了《翁牛特旗城镇集中式饮用水水源地环境保护规划》《翁牛特旗土壤防治工作方案》《翁牛特旗土壤环境保护方案》《赤峰市生态环境局翁牛特旗分局建设项目环境影响评价文件审批、备案管理规定》等文件，在翁牛特旗人民政府网站上公示公开了《赤峰市生态环境局翁牛特旗分局关于房地产项目环评审批有关事宜的通知》《翁旗环境分局排污许可证核发一次性告知单》《建设项目环境影响评价文件报批、备案指南》《建设项目环境影响登记表备案指南》《翁牛特旗国土空间总体规划( 2021-2035年 )》（征求意见稿）、翁牛特旗各苏木乡镇国土空间总体规划（征求意见稿）、《翁牛特旗农村牧区生活垃圾集中治理行动实施方案（征求意见稿）》等文件，翁牛特旗生态文明制度体系逐步完善。</w:t>
      </w:r>
    </w:p>
    <w:p w14:paraId="24B076FB">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深入开展环保专项行动，针对重点行业和环境风险企业、环境污染隐患企业进行排查，结合扫黑除恶专项斗争工作及时纠正、严厉打击违法排污行为。坚持做好12369环保举报热线电话的值班、值宿工作，完善信访制度，规范环境信访案件的接访、查处、结案等程序，环境监管能力体系不断完善。</w:t>
      </w:r>
    </w:p>
    <w:p w14:paraId="20D148A9">
      <w:pPr>
        <w:pStyle w:val="20"/>
        <w:widowControl w:val="0"/>
        <w:spacing w:line="560" w:lineRule="exact"/>
        <w:ind w:firstLine="552" w:firstLineChars="200"/>
        <w:jc w:val="both"/>
        <w:rPr>
          <w:rFonts w:ascii="Times New Roman" w:hAnsi="Times New Roman" w:eastAsia="仿宋" w:cs="Times New Roman"/>
          <w:spacing w:val="-2"/>
          <w:sz w:val="28"/>
          <w:szCs w:val="28"/>
          <w:lang w:eastAsia="zh-CN"/>
        </w:rPr>
      </w:pPr>
      <w:r>
        <w:rPr>
          <w:rFonts w:ascii="Times New Roman" w:hAnsi="Times New Roman" w:eastAsia="仿宋" w:cs="Times New Roman"/>
          <w:spacing w:val="-2"/>
          <w:sz w:val="28"/>
          <w:szCs w:val="28"/>
          <w:lang w:eastAsia="zh-CN"/>
        </w:rPr>
        <w:t>生态环境监测网络不断完善</w:t>
      </w:r>
      <w:r>
        <w:rPr>
          <w:rFonts w:ascii="Times New Roman" w:hAnsi="Times New Roman" w:eastAsia="仿宋" w:cs="Times New Roman"/>
          <w:b/>
          <w:bCs/>
          <w:spacing w:val="-2"/>
          <w:sz w:val="28"/>
          <w:szCs w:val="28"/>
          <w:lang w:eastAsia="zh-CN"/>
        </w:rPr>
        <w:t>。</w:t>
      </w:r>
      <w:r>
        <w:rPr>
          <w:rFonts w:ascii="Times New Roman" w:hAnsi="Times New Roman" w:eastAsia="仿宋" w:cs="Times New Roman"/>
          <w:spacing w:val="-2"/>
          <w:sz w:val="28"/>
          <w:szCs w:val="28"/>
          <w:lang w:eastAsia="zh-CN"/>
        </w:rPr>
        <w:t>大气方面，古城街自动监测站房实现气象五参数指标和环境空气质量指标24小时不间断稳定采集，为全旗的大气排放类项目落地和环境空气考核提供科学有力的数据支撑。完成翁牛特旗4处烟气排放自动监控设施安装工程与市生态环境局联网。水环境方面，持续对翁牛特旗3个国控断面、5个市控断面水质、翁牛特旗乌丹镇污水处理厂、安琪酵母（赤峰）有限公司等企业污水水质进行例行监测及监督性监测。声环境方面，累计获取声环境质量监测数据4600余个。</w:t>
      </w:r>
    </w:p>
    <w:p w14:paraId="17DD4E31">
      <w:pPr>
        <w:numPr>
          <w:ilvl w:val="0"/>
          <w:numId w:val="1"/>
        </w:numPr>
        <w:spacing w:line="560" w:lineRule="exact"/>
        <w:ind w:firstLine="562" w:firstLineChars="200"/>
        <w:jc w:val="both"/>
        <w:outlineLvl w:val="2"/>
        <w:rPr>
          <w:rFonts w:ascii="Times New Roman" w:hAnsi="Times New Roman" w:eastAsia="仿宋" w:cs="Times New Roman"/>
          <w:b/>
          <w:bCs/>
          <w:sz w:val="28"/>
          <w:szCs w:val="28"/>
          <w:lang w:eastAsia="zh-CN"/>
        </w:rPr>
      </w:pPr>
      <w:bookmarkStart w:id="39" w:name="OLE_LINK138"/>
      <w:bookmarkStart w:id="40" w:name="_Toc183187224"/>
      <w:r>
        <w:rPr>
          <w:rFonts w:ascii="Times New Roman" w:hAnsi="Times New Roman" w:eastAsia="仿宋" w:cs="Times New Roman"/>
          <w:b/>
          <w:bCs/>
          <w:sz w:val="28"/>
          <w:szCs w:val="28"/>
          <w:lang w:eastAsia="zh-CN"/>
        </w:rPr>
        <w:t>综合经济实力不断增强</w:t>
      </w:r>
      <w:bookmarkEnd w:id="39"/>
      <w:r>
        <w:rPr>
          <w:rFonts w:ascii="Times New Roman" w:hAnsi="Times New Roman" w:eastAsia="仿宋" w:cs="Times New Roman"/>
          <w:b/>
          <w:bCs/>
          <w:sz w:val="28"/>
          <w:szCs w:val="28"/>
          <w:lang w:eastAsia="zh-CN"/>
        </w:rPr>
        <w:t>、产业结构调整成效显著</w:t>
      </w:r>
      <w:bookmarkEnd w:id="40"/>
    </w:p>
    <w:p w14:paraId="7A870D22">
      <w:pPr>
        <w:pStyle w:val="20"/>
        <w:widowControl w:val="0"/>
        <w:topLinePunct/>
        <w:spacing w:line="560" w:lineRule="exact"/>
        <w:ind w:firstLine="560"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lang w:eastAsia="zh-CN"/>
        </w:rPr>
        <w:t>2018</w:t>
      </w:r>
      <w:r>
        <w:rPr>
          <w:rFonts w:hint="eastAsia" w:ascii="Times New Roman" w:hAnsi="Times New Roman" w:eastAsia="仿宋" w:cs="Times New Roman"/>
          <w:color w:val="auto"/>
          <w:sz w:val="28"/>
          <w:szCs w:val="28"/>
          <w:lang w:eastAsia="zh-CN"/>
        </w:rPr>
        <w:t>年翁牛特旗地区生产总值为</w:t>
      </w:r>
      <w:r>
        <w:rPr>
          <w:rFonts w:ascii="Times New Roman" w:hAnsi="Times New Roman" w:eastAsia="仿宋" w:cs="Times New Roman"/>
          <w:color w:val="auto"/>
          <w:sz w:val="28"/>
          <w:szCs w:val="28"/>
          <w:lang w:eastAsia="zh-CN"/>
        </w:rPr>
        <w:t>127.9</w:t>
      </w:r>
      <w:r>
        <w:rPr>
          <w:rFonts w:hint="eastAsia" w:ascii="Times New Roman" w:hAnsi="Times New Roman" w:eastAsia="仿宋" w:cs="Times New Roman"/>
          <w:color w:val="auto"/>
          <w:sz w:val="28"/>
          <w:szCs w:val="28"/>
          <w:lang w:eastAsia="zh-CN"/>
        </w:rPr>
        <w:t>亿元</w:t>
      </w:r>
      <w:r>
        <w:rPr>
          <w:rFonts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总量数据为现价，下同</w:t>
      </w:r>
      <w:r>
        <w:rPr>
          <w:rFonts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lang w:eastAsia="zh-CN"/>
        </w:rPr>
        <w:t>2023</w:t>
      </w:r>
      <w:r>
        <w:rPr>
          <w:rFonts w:hint="eastAsia" w:ascii="Times New Roman" w:hAnsi="Times New Roman" w:eastAsia="仿宋" w:cs="Times New Roman"/>
          <w:color w:val="auto"/>
          <w:sz w:val="28"/>
          <w:szCs w:val="28"/>
          <w:lang w:eastAsia="zh-CN"/>
        </w:rPr>
        <w:t>年翁牛特旗地区生产总值达到</w:t>
      </w:r>
      <w:r>
        <w:rPr>
          <w:rFonts w:ascii="Times New Roman" w:hAnsi="Times New Roman" w:eastAsia="仿宋" w:cs="Times New Roman"/>
          <w:color w:val="auto"/>
          <w:sz w:val="28"/>
          <w:szCs w:val="28"/>
          <w:lang w:eastAsia="zh-CN"/>
        </w:rPr>
        <w:t>181.1</w:t>
      </w:r>
      <w:r>
        <w:rPr>
          <w:rFonts w:hint="eastAsia" w:ascii="Times New Roman" w:hAnsi="Times New Roman" w:eastAsia="仿宋" w:cs="Times New Roman"/>
          <w:color w:val="auto"/>
          <w:sz w:val="28"/>
          <w:szCs w:val="28"/>
          <w:lang w:eastAsia="zh-CN"/>
        </w:rPr>
        <w:t>亿元。按可比价格计算</w:t>
      </w:r>
      <w:r>
        <w:rPr>
          <w:rFonts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增速数据为可比价，下同</w:t>
      </w:r>
      <w:r>
        <w:rPr>
          <w:rFonts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，地区生产总值年均增长</w:t>
      </w:r>
      <w:r>
        <w:rPr>
          <w:rFonts w:ascii="Times New Roman" w:hAnsi="Times New Roman" w:eastAsia="仿宋" w:cs="Times New Roman"/>
          <w:color w:val="auto"/>
          <w:sz w:val="28"/>
          <w:szCs w:val="28"/>
          <w:lang w:eastAsia="zh-CN"/>
        </w:rPr>
        <w:t>3.8%</w:t>
      </w:r>
      <w:r>
        <w:rPr>
          <w:rFonts w:hint="eastAsia" w:ascii="Times New Roman" w:hAnsi="Times New Roman" w:eastAsia="仿宋" w:cs="Times New Roman"/>
          <w:color w:val="auto"/>
          <w:sz w:val="28"/>
          <w:szCs w:val="28"/>
          <w:lang w:eastAsia="zh-CN"/>
        </w:rPr>
        <w:t>。其中，</w:t>
      </w:r>
      <w:r>
        <w:rPr>
          <w:rFonts w:hint="eastAsia" w:ascii="仿宋" w:hAnsi="仿宋" w:eastAsia="仿宋" w:cs="Times New Roman"/>
          <w:color w:val="auto"/>
          <w:sz w:val="28"/>
          <w:szCs w:val="28"/>
          <w:lang w:eastAsia="zh-CN"/>
        </w:rPr>
        <w:t>第一产业增加值从</w:t>
      </w:r>
      <w:r>
        <w:rPr>
          <w:rFonts w:ascii="仿宋" w:hAnsi="仿宋" w:eastAsia="仿宋" w:cs="Times New Roman"/>
          <w:color w:val="auto"/>
          <w:sz w:val="28"/>
          <w:szCs w:val="28"/>
          <w:lang w:eastAsia="zh-CN"/>
        </w:rPr>
        <w:t>2018</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45.0</w:t>
      </w:r>
      <w:r>
        <w:rPr>
          <w:rFonts w:hint="eastAsia" w:ascii="仿宋" w:hAnsi="仿宋" w:eastAsia="仿宋" w:cs="Times New Roman"/>
          <w:color w:val="auto"/>
          <w:sz w:val="28"/>
          <w:szCs w:val="28"/>
          <w:lang w:eastAsia="zh-CN"/>
        </w:rPr>
        <w:t>亿元增长到</w:t>
      </w:r>
      <w:r>
        <w:rPr>
          <w:rFonts w:ascii="仿宋" w:hAnsi="仿宋" w:eastAsia="仿宋" w:cs="Times New Roman"/>
          <w:color w:val="auto"/>
          <w:sz w:val="28"/>
          <w:szCs w:val="28"/>
          <w:lang w:eastAsia="zh-CN"/>
        </w:rPr>
        <w:t>2023</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 xml:space="preserve">67.5 </w:t>
      </w:r>
      <w:r>
        <w:rPr>
          <w:rFonts w:hint="eastAsia" w:ascii="仿宋" w:hAnsi="仿宋" w:eastAsia="仿宋" w:cs="Times New Roman"/>
          <w:color w:val="auto"/>
          <w:sz w:val="28"/>
          <w:szCs w:val="28"/>
          <w:lang w:eastAsia="zh-CN"/>
        </w:rPr>
        <w:t>亿元，五年年均增长率为</w:t>
      </w:r>
      <w:r>
        <w:rPr>
          <w:rFonts w:ascii="仿宋" w:hAnsi="仿宋" w:eastAsia="仿宋" w:cs="Times New Roman"/>
          <w:color w:val="auto"/>
          <w:sz w:val="28"/>
          <w:szCs w:val="28"/>
          <w:lang w:eastAsia="zh-CN"/>
        </w:rPr>
        <w:t>3.2%</w:t>
      </w:r>
      <w:r>
        <w:rPr>
          <w:rFonts w:hint="eastAsia" w:ascii="仿宋" w:hAnsi="仿宋" w:eastAsia="仿宋" w:cs="Times New Roman"/>
          <w:color w:val="auto"/>
          <w:sz w:val="28"/>
          <w:szCs w:val="28"/>
          <w:lang w:eastAsia="zh-CN"/>
        </w:rPr>
        <w:t>。第二产业增加值从</w:t>
      </w:r>
      <w:r>
        <w:rPr>
          <w:rFonts w:ascii="仿宋" w:hAnsi="仿宋" w:eastAsia="仿宋" w:cs="Times New Roman"/>
          <w:color w:val="auto"/>
          <w:sz w:val="28"/>
          <w:szCs w:val="28"/>
          <w:lang w:eastAsia="zh-CN"/>
        </w:rPr>
        <w:t>2018</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25.2</w:t>
      </w:r>
      <w:r>
        <w:rPr>
          <w:rFonts w:hint="eastAsia" w:ascii="仿宋" w:hAnsi="仿宋" w:eastAsia="仿宋" w:cs="Times New Roman"/>
          <w:color w:val="auto"/>
          <w:sz w:val="28"/>
          <w:szCs w:val="28"/>
          <w:lang w:eastAsia="zh-CN"/>
        </w:rPr>
        <w:t>亿元增长到</w:t>
      </w:r>
      <w:r>
        <w:rPr>
          <w:rFonts w:ascii="仿宋" w:hAnsi="仿宋" w:eastAsia="仿宋" w:cs="Times New Roman"/>
          <w:color w:val="auto"/>
          <w:sz w:val="28"/>
          <w:szCs w:val="28"/>
          <w:lang w:eastAsia="zh-CN"/>
        </w:rPr>
        <w:t>2023</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35.7</w:t>
      </w:r>
      <w:r>
        <w:rPr>
          <w:rFonts w:hint="eastAsia" w:ascii="仿宋" w:hAnsi="仿宋" w:eastAsia="仿宋" w:cs="Times New Roman"/>
          <w:color w:val="auto"/>
          <w:sz w:val="28"/>
          <w:szCs w:val="28"/>
          <w:lang w:eastAsia="zh-CN"/>
        </w:rPr>
        <w:t>亿元，五年年均增长率为</w:t>
      </w:r>
      <w:r>
        <w:rPr>
          <w:rFonts w:ascii="仿宋" w:hAnsi="仿宋" w:eastAsia="仿宋" w:cs="Times New Roman"/>
          <w:color w:val="auto"/>
          <w:sz w:val="28"/>
          <w:szCs w:val="28"/>
          <w:lang w:eastAsia="zh-CN"/>
        </w:rPr>
        <w:t>3.7%</w:t>
      </w:r>
      <w:r>
        <w:rPr>
          <w:rFonts w:hint="eastAsia" w:ascii="仿宋" w:hAnsi="仿宋" w:eastAsia="仿宋" w:cs="Times New Roman"/>
          <w:color w:val="auto"/>
          <w:sz w:val="28"/>
          <w:szCs w:val="28"/>
          <w:lang w:eastAsia="zh-CN"/>
        </w:rPr>
        <w:t>。第三产业增加值从</w:t>
      </w:r>
      <w:r>
        <w:rPr>
          <w:rFonts w:ascii="仿宋" w:hAnsi="仿宋" w:eastAsia="仿宋" w:cs="Times New Roman"/>
          <w:color w:val="auto"/>
          <w:sz w:val="28"/>
          <w:szCs w:val="28"/>
          <w:lang w:eastAsia="zh-CN"/>
        </w:rPr>
        <w:t>2018</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57.7</w:t>
      </w:r>
      <w:r>
        <w:rPr>
          <w:rFonts w:hint="eastAsia" w:ascii="仿宋" w:hAnsi="仿宋" w:eastAsia="仿宋" w:cs="Times New Roman"/>
          <w:color w:val="auto"/>
          <w:sz w:val="28"/>
          <w:szCs w:val="28"/>
          <w:lang w:eastAsia="zh-CN"/>
        </w:rPr>
        <w:t>亿元增长到</w:t>
      </w:r>
      <w:r>
        <w:rPr>
          <w:rFonts w:ascii="仿宋" w:hAnsi="仿宋" w:eastAsia="仿宋" w:cs="Times New Roman"/>
          <w:color w:val="auto"/>
          <w:sz w:val="28"/>
          <w:szCs w:val="28"/>
          <w:lang w:eastAsia="zh-CN"/>
        </w:rPr>
        <w:t>2023</w:t>
      </w:r>
      <w:r>
        <w:rPr>
          <w:rFonts w:hint="eastAsia" w:ascii="仿宋" w:hAnsi="仿宋" w:eastAsia="仿宋" w:cs="Times New Roman"/>
          <w:color w:val="auto"/>
          <w:sz w:val="28"/>
          <w:szCs w:val="28"/>
          <w:lang w:eastAsia="zh-CN"/>
        </w:rPr>
        <w:t>年的</w:t>
      </w:r>
      <w:r>
        <w:rPr>
          <w:rFonts w:ascii="仿宋" w:hAnsi="仿宋" w:eastAsia="仿宋" w:cs="Times New Roman"/>
          <w:color w:val="auto"/>
          <w:sz w:val="28"/>
          <w:szCs w:val="28"/>
          <w:lang w:eastAsia="zh-CN"/>
        </w:rPr>
        <w:t>77.9</w:t>
      </w:r>
      <w:r>
        <w:rPr>
          <w:rFonts w:hint="eastAsia" w:ascii="仿宋" w:hAnsi="仿宋" w:eastAsia="仿宋" w:cs="Times New Roman"/>
          <w:color w:val="auto"/>
          <w:sz w:val="28"/>
          <w:szCs w:val="28"/>
          <w:lang w:eastAsia="zh-CN"/>
        </w:rPr>
        <w:t>亿元，五年年均增长率为</w:t>
      </w:r>
      <w:r>
        <w:rPr>
          <w:rFonts w:ascii="仿宋" w:hAnsi="仿宋" w:eastAsia="仿宋" w:cs="Times New Roman"/>
          <w:color w:val="auto"/>
          <w:sz w:val="28"/>
          <w:szCs w:val="28"/>
          <w:lang w:eastAsia="zh-CN"/>
        </w:rPr>
        <w:t xml:space="preserve"> 4.4%</w:t>
      </w:r>
      <w:r>
        <w:rPr>
          <w:rFonts w:hint="eastAsia" w:ascii="仿宋" w:hAnsi="仿宋" w:eastAsia="仿宋" w:cs="Times New Roman"/>
          <w:color w:val="auto"/>
          <w:sz w:val="28"/>
          <w:szCs w:val="28"/>
          <w:lang w:eastAsia="zh-CN"/>
        </w:rPr>
        <w:t>。</w:t>
      </w:r>
      <w:r>
        <w:rPr>
          <w:rFonts w:ascii="仿宋" w:hAnsi="仿宋" w:eastAsia="仿宋" w:cs="Times New Roman"/>
          <w:color w:val="auto"/>
          <w:sz w:val="28"/>
          <w:szCs w:val="28"/>
          <w:lang w:eastAsia="zh-CN"/>
        </w:rPr>
        <w:t>(2023</w:t>
      </w:r>
      <w:r>
        <w:rPr>
          <w:rFonts w:hint="eastAsia" w:ascii="仿宋" w:hAnsi="仿宋" w:eastAsia="仿宋" w:cs="Times New Roman"/>
          <w:color w:val="auto"/>
          <w:sz w:val="28"/>
          <w:szCs w:val="28"/>
          <w:lang w:eastAsia="zh-CN"/>
        </w:rPr>
        <w:t>年地区生产总值数据为年度初步反馈数据，非五经普最终核定数据，待数据确准并反馈后以最终数据为准</w:t>
      </w:r>
      <w:r>
        <w:rPr>
          <w:rFonts w:ascii="仿宋" w:hAnsi="仿宋" w:eastAsia="仿宋" w:cs="Times New Roman"/>
          <w:color w:val="auto"/>
          <w:sz w:val="28"/>
          <w:szCs w:val="28"/>
          <w:lang w:eastAsia="zh-CN"/>
        </w:rPr>
        <w:t>)</w:t>
      </w:r>
      <w:r>
        <w:rPr>
          <w:rFonts w:hint="eastAsia" w:ascii="仿宋" w:hAnsi="仿宋" w:eastAsia="仿宋" w:cs="Times New Roman"/>
          <w:color w:val="auto"/>
          <w:sz w:val="28"/>
          <w:szCs w:val="28"/>
          <w:lang w:eastAsia="zh-CN"/>
        </w:rPr>
        <w:t>。</w:t>
      </w:r>
    </w:p>
    <w:p w14:paraId="7132FDCF">
      <w:pPr>
        <w:pStyle w:val="3"/>
        <w:rPr>
          <w:rFonts w:ascii="Times New Roman" w:hAnsi="Times New Roman" w:cs="Times New Roman"/>
          <w:color w:val="auto"/>
          <w:lang w:eastAsia="zh-CN"/>
        </w:rPr>
      </w:pPr>
      <w:bookmarkStart w:id="41" w:name="bookmark11"/>
      <w:bookmarkEnd w:id="41"/>
      <w:bookmarkStart w:id="42" w:name="bookmark12"/>
      <w:bookmarkEnd w:id="42"/>
      <w:bookmarkStart w:id="43" w:name="_Toc183187225"/>
      <w:r>
        <w:rPr>
          <w:rFonts w:ascii="Times New Roman" w:hAnsi="Times New Roman" w:cs="Times New Roman"/>
          <w:color w:val="auto"/>
          <w:lang w:eastAsia="zh-CN"/>
        </w:rPr>
        <w:t>二、主要问题与挑战</w:t>
      </w:r>
      <w:bookmarkEnd w:id="43"/>
    </w:p>
    <w:p w14:paraId="30F6ED37">
      <w:pPr>
        <w:spacing w:line="560" w:lineRule="exact"/>
        <w:ind w:firstLine="542" w:firstLineChars="200"/>
        <w:jc w:val="both"/>
        <w:rPr>
          <w:rFonts w:ascii="Times New Roman" w:hAnsi="Times New Roman" w:eastAsia="仿宋" w:cs="Times New Roman"/>
          <w:b/>
          <w:color w:val="auto"/>
          <w:spacing w:val="-5"/>
          <w:sz w:val="28"/>
          <w:szCs w:val="28"/>
          <w:lang w:eastAsia="zh-CN"/>
        </w:rPr>
      </w:pPr>
      <w:bookmarkStart w:id="44" w:name="_Hlk167972783"/>
      <w:bookmarkStart w:id="45" w:name="OLE_LINK379"/>
      <w:bookmarkStart w:id="46" w:name="OLE_LINK378"/>
      <w:bookmarkStart w:id="47" w:name="OLE_LINK364"/>
      <w:r>
        <w:rPr>
          <w:rFonts w:ascii="Times New Roman" w:hAnsi="Times New Roman" w:eastAsia="仿宋" w:cs="Times New Roman"/>
          <w:b/>
          <w:color w:val="auto"/>
          <w:spacing w:val="-5"/>
          <w:sz w:val="28"/>
          <w:szCs w:val="28"/>
          <w:lang w:eastAsia="zh-CN"/>
        </w:rPr>
        <w:t>（一）生态环境本底脆弱，生态保护与建设任务重。</w:t>
      </w:r>
    </w:p>
    <w:p w14:paraId="4C3FEBB4">
      <w:pPr>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翁牛特旗是自治区、赤峰市划定的重点防沙治沙区，沙化土地面积719.82万亩，占全旗总土地面积的40.8％，占全市沙化土地面积的25.5%，占科尔沁沙地面积的9.3%左右。自2009年以来翁牛特旗大力实施“以路治沙”战略，先后开通了响道线、图哈线、都冷线、都拉线、苏都线、罕都线、乌白线等12条穿沙公路，全旗沙化土地面积</w:t>
      </w:r>
      <w:r>
        <w:rPr>
          <w:rFonts w:hint="eastAsia" w:ascii="Times New Roman" w:hAnsi="Times New Roman" w:eastAsia="仿宋" w:cs="Times New Roman"/>
          <w:color w:val="auto"/>
          <w:spacing w:val="-5"/>
          <w:sz w:val="28"/>
          <w:szCs w:val="28"/>
          <w:lang w:eastAsia="zh-CN"/>
        </w:rPr>
        <w:t>逐年减少</w:t>
      </w:r>
      <w:r>
        <w:rPr>
          <w:rFonts w:ascii="Times New Roman" w:hAnsi="Times New Roman" w:eastAsia="仿宋" w:cs="Times New Roman"/>
          <w:color w:val="auto"/>
          <w:spacing w:val="-5"/>
          <w:sz w:val="28"/>
          <w:szCs w:val="28"/>
          <w:lang w:eastAsia="zh-CN"/>
        </w:rPr>
        <w:t>，沙地总体向好发展。但据第五次荒漠化和沙土地监测结果，全旗流动沙地和半固定仍有211.88万亩，且多为远山大沙，治理难度大。前期治理成果脆弱，具有反复性，保护任务仍然艰巨。</w:t>
      </w:r>
      <w:bookmarkEnd w:id="44"/>
    </w:p>
    <w:p w14:paraId="786DE4DE">
      <w:pPr>
        <w:spacing w:line="560" w:lineRule="exact"/>
        <w:ind w:firstLine="542" w:firstLineChars="200"/>
        <w:jc w:val="both"/>
        <w:rPr>
          <w:rFonts w:ascii="Times New Roman" w:hAnsi="Times New Roman" w:eastAsia="仿宋" w:cs="Times New Roman"/>
          <w:b/>
          <w:color w:val="auto"/>
          <w:spacing w:val="-5"/>
          <w:sz w:val="28"/>
          <w:szCs w:val="28"/>
          <w:lang w:eastAsia="zh-CN"/>
        </w:rPr>
      </w:pPr>
      <w:r>
        <w:rPr>
          <w:rFonts w:ascii="Times New Roman" w:hAnsi="Times New Roman" w:eastAsia="仿宋" w:cs="Times New Roman"/>
          <w:b/>
          <w:color w:val="auto"/>
          <w:spacing w:val="-5"/>
          <w:sz w:val="28"/>
          <w:szCs w:val="28"/>
          <w:lang w:eastAsia="zh-CN"/>
        </w:rPr>
        <w:t>（二）生态生活基础设施建设滞后</w:t>
      </w:r>
    </w:p>
    <w:p w14:paraId="4B423BD2">
      <w:pPr>
        <w:spacing w:line="560" w:lineRule="exact"/>
        <w:ind w:firstLine="562"/>
        <w:jc w:val="both"/>
        <w:rPr>
          <w:rFonts w:ascii="Times New Roman" w:hAnsi="Times New Roman" w:eastAsia="仿宋" w:cs="Times New Roman"/>
          <w:color w:val="auto"/>
          <w:spacing w:val="-4"/>
          <w:sz w:val="28"/>
          <w:szCs w:val="28"/>
          <w:lang w:eastAsia="zh-CN"/>
        </w:rPr>
      </w:pPr>
      <w:bookmarkStart w:id="48" w:name="OLE_LINK367"/>
      <w:bookmarkStart w:id="49" w:name="OLE_LINK377"/>
      <w:r>
        <w:rPr>
          <w:rFonts w:ascii="Times New Roman" w:hAnsi="Times New Roman" w:eastAsia="仿宋" w:cs="Times New Roman"/>
          <w:color w:val="auto"/>
          <w:spacing w:val="-6"/>
          <w:sz w:val="28"/>
          <w:szCs w:val="28"/>
          <w:lang w:eastAsia="zh"/>
        </w:rPr>
        <w:t>翁牛特旗</w:t>
      </w:r>
      <w:r>
        <w:rPr>
          <w:rFonts w:ascii="Times New Roman" w:hAnsi="Times New Roman" w:eastAsia="仿宋" w:cs="Times New Roman"/>
          <w:color w:val="auto"/>
          <w:spacing w:val="-6"/>
          <w:sz w:val="28"/>
          <w:szCs w:val="28"/>
          <w:lang w:eastAsia="zh-CN"/>
        </w:rPr>
        <w:t>生产生活领域环境基础</w:t>
      </w:r>
      <w:r>
        <w:rPr>
          <w:rFonts w:ascii="Times New Roman" w:hAnsi="Times New Roman" w:eastAsia="仿宋" w:cs="Times New Roman"/>
          <w:color w:val="auto"/>
          <w:spacing w:val="-4"/>
          <w:sz w:val="28"/>
          <w:szCs w:val="28"/>
          <w:lang w:eastAsia="zh-CN"/>
        </w:rPr>
        <w:t>设施建设相对滞后。生活垃圾处置方面</w:t>
      </w:r>
      <w:r>
        <w:rPr>
          <w:rFonts w:hint="eastAsia" w:ascii="Times New Roman" w:hAnsi="Times New Roman" w:eastAsia="仿宋" w:cs="Times New Roman"/>
          <w:color w:val="auto"/>
          <w:spacing w:val="-4"/>
          <w:sz w:val="28"/>
          <w:szCs w:val="28"/>
          <w:lang w:eastAsia="zh-CN"/>
        </w:rPr>
        <w:t>，</w:t>
      </w:r>
      <w:r>
        <w:rPr>
          <w:rFonts w:ascii="Times New Roman" w:hAnsi="Times New Roman" w:eastAsia="仿宋" w:cs="Times New Roman"/>
          <w:color w:val="auto"/>
          <w:spacing w:val="-4"/>
          <w:sz w:val="28"/>
          <w:szCs w:val="28"/>
          <w:lang w:eastAsia="zh-CN"/>
        </w:rPr>
        <w:t>目前仅有紫城</w:t>
      </w:r>
      <w:r>
        <w:rPr>
          <w:rFonts w:hint="eastAsia" w:ascii="Times New Roman" w:hAnsi="Times New Roman" w:eastAsia="仿宋" w:cs="Times New Roman"/>
          <w:color w:val="auto"/>
          <w:spacing w:val="-4"/>
          <w:sz w:val="28"/>
          <w:szCs w:val="28"/>
          <w:lang w:eastAsia="zh-CN"/>
        </w:rPr>
        <w:t>生活</w:t>
      </w:r>
      <w:r>
        <w:rPr>
          <w:rFonts w:ascii="Times New Roman" w:hAnsi="Times New Roman" w:eastAsia="仿宋" w:cs="Times New Roman"/>
          <w:color w:val="auto"/>
          <w:spacing w:val="-4"/>
          <w:sz w:val="28"/>
          <w:szCs w:val="28"/>
          <w:lang w:eastAsia="zh-CN"/>
        </w:rPr>
        <w:t>垃圾填埋场（一期和二期）</w:t>
      </w:r>
      <w:r>
        <w:rPr>
          <w:rFonts w:hint="eastAsia" w:ascii="Times New Roman" w:hAnsi="Times New Roman" w:eastAsia="仿宋" w:cs="Times New Roman"/>
          <w:color w:val="auto"/>
          <w:spacing w:val="-4"/>
          <w:sz w:val="28"/>
          <w:szCs w:val="28"/>
          <w:lang w:eastAsia="zh-CN"/>
        </w:rPr>
        <w:t>、乌敦套海镇生活垃圾填埋场两</w:t>
      </w:r>
      <w:r>
        <w:rPr>
          <w:rFonts w:ascii="Times New Roman" w:hAnsi="Times New Roman" w:eastAsia="仿宋" w:cs="Times New Roman"/>
          <w:color w:val="auto"/>
          <w:spacing w:val="-4"/>
          <w:sz w:val="28"/>
          <w:szCs w:val="28"/>
          <w:lang w:eastAsia="zh-CN"/>
        </w:rPr>
        <w:t>座标准垃圾填埋场，</w:t>
      </w:r>
      <w:r>
        <w:rPr>
          <w:rFonts w:hint="eastAsia" w:ascii="Times New Roman" w:hAnsi="Times New Roman" w:eastAsia="仿宋" w:cs="Times New Roman"/>
          <w:color w:val="auto"/>
          <w:spacing w:val="-4"/>
          <w:sz w:val="28"/>
          <w:szCs w:val="28"/>
          <w:lang w:eastAsia="zh-CN"/>
        </w:rPr>
        <w:t>及广德公镇马家营子村垃圾无害化处理项目乌丹镇驿马吐村垃圾无害化处理项目、解放营子乡新窝铺村垃圾无害化处理项目、大兴农场垃圾无害化处理项目、海拉苏镇垃圾无害化处理项目，日处理垃圾总量合计约为</w:t>
      </w:r>
      <w:r>
        <w:rPr>
          <w:rFonts w:ascii="Times New Roman" w:hAnsi="Times New Roman" w:eastAsia="仿宋" w:cs="Times New Roman"/>
          <w:color w:val="auto"/>
          <w:spacing w:val="-4"/>
          <w:sz w:val="28"/>
          <w:szCs w:val="28"/>
          <w:lang w:eastAsia="zh-CN"/>
        </w:rPr>
        <w:t>50</w:t>
      </w:r>
      <w:r>
        <w:rPr>
          <w:rFonts w:hint="eastAsia" w:ascii="Times New Roman" w:hAnsi="Times New Roman" w:eastAsia="仿宋" w:cs="Times New Roman"/>
          <w:color w:val="auto"/>
          <w:spacing w:val="-4"/>
          <w:sz w:val="28"/>
          <w:szCs w:val="28"/>
          <w:lang w:eastAsia="zh-CN"/>
        </w:rPr>
        <w:t>吨，覆盖周边行政村</w:t>
      </w:r>
      <w:r>
        <w:rPr>
          <w:rFonts w:ascii="Times New Roman" w:hAnsi="Times New Roman" w:eastAsia="仿宋" w:cs="Times New Roman"/>
          <w:color w:val="auto"/>
          <w:spacing w:val="-4"/>
          <w:sz w:val="28"/>
          <w:szCs w:val="28"/>
          <w:lang w:eastAsia="zh-CN"/>
        </w:rPr>
        <w:t>68</w:t>
      </w:r>
      <w:r>
        <w:rPr>
          <w:rFonts w:hint="eastAsia" w:ascii="Times New Roman" w:hAnsi="Times New Roman" w:eastAsia="仿宋" w:cs="Times New Roman"/>
          <w:color w:val="auto"/>
          <w:spacing w:val="-4"/>
          <w:sz w:val="28"/>
          <w:szCs w:val="28"/>
          <w:lang w:eastAsia="zh-CN"/>
        </w:rPr>
        <w:t>个</w:t>
      </w:r>
      <w:r>
        <w:rPr>
          <w:rFonts w:ascii="Times New Roman" w:hAnsi="Times New Roman" w:eastAsia="仿宋" w:cs="Times New Roman"/>
          <w:color w:val="auto"/>
          <w:spacing w:val="-4"/>
          <w:sz w:val="28"/>
          <w:szCs w:val="28"/>
          <w:lang w:eastAsia="zh-CN"/>
        </w:rPr>
        <w:t>，其他乡镇苏木垃圾处置终端缺少的问题仍然凸显，全旗范围内的垃圾收转运运一体化模式尚未形成。生活污水处理方面，目前全旗已建设投入运行的城镇污水处理厂1座，乡镇污水处理厂7座，工业园区污水处理厂正在建设中，现有乡镇污水处理设施收集管网不完善、运行负荷低等问题较明显。同时存在部分乡镇苏木镇区污水无污水处理设施，仍存在直接排放现象，全旗污水处理能力尚有很大提升空间</w:t>
      </w:r>
      <w:bookmarkEnd w:id="48"/>
      <w:bookmarkEnd w:id="49"/>
      <w:r>
        <w:rPr>
          <w:rFonts w:ascii="Times New Roman" w:hAnsi="Times New Roman" w:eastAsia="仿宋" w:cs="Times New Roman"/>
          <w:color w:val="auto"/>
          <w:spacing w:val="-4"/>
          <w:sz w:val="28"/>
          <w:szCs w:val="28"/>
          <w:lang w:eastAsia="zh-CN"/>
        </w:rPr>
        <w:t>。</w:t>
      </w:r>
    </w:p>
    <w:p w14:paraId="45B5F875">
      <w:pPr>
        <w:spacing w:line="560" w:lineRule="exact"/>
        <w:ind w:firstLine="542" w:firstLineChars="200"/>
        <w:jc w:val="both"/>
        <w:rPr>
          <w:rFonts w:ascii="Times New Roman" w:hAnsi="Times New Roman" w:eastAsia="仿宋" w:cs="Times New Roman"/>
          <w:b/>
          <w:color w:val="auto"/>
          <w:spacing w:val="-5"/>
          <w:sz w:val="28"/>
          <w:szCs w:val="28"/>
          <w:lang w:eastAsia="zh-CN"/>
        </w:rPr>
      </w:pPr>
      <w:r>
        <w:rPr>
          <w:rFonts w:ascii="Times New Roman" w:hAnsi="Times New Roman" w:eastAsia="仿宋" w:cs="Times New Roman"/>
          <w:b/>
          <w:color w:val="auto"/>
          <w:spacing w:val="-5"/>
          <w:sz w:val="28"/>
          <w:szCs w:val="28"/>
          <w:lang w:eastAsia="zh-CN"/>
        </w:rPr>
        <w:t>（三）环境质量持续改善形势不容乐观</w:t>
      </w:r>
      <w:bookmarkStart w:id="50" w:name="_Hlk167974318"/>
    </w:p>
    <w:p w14:paraId="46FDC28D">
      <w:pPr>
        <w:pStyle w:val="8"/>
        <w:spacing w:line="560" w:lineRule="exact"/>
        <w:ind w:firstLine="552" w:firstLineChars="200"/>
        <w:jc w:val="both"/>
        <w:rPr>
          <w:rFonts w:ascii="Times New Roman" w:hAnsi="Times New Roman" w:eastAsia="仿宋" w:cs="Times New Roman"/>
          <w:color w:val="auto"/>
          <w:spacing w:val="-2"/>
          <w:sz w:val="28"/>
          <w:szCs w:val="28"/>
          <w:lang w:eastAsia="zh-CN"/>
        </w:rPr>
      </w:pPr>
      <w:bookmarkStart w:id="51" w:name="OLE_LINK366"/>
      <w:bookmarkStart w:id="52" w:name="OLE_LINK365"/>
      <w:r>
        <w:rPr>
          <w:rFonts w:ascii="Times New Roman" w:hAnsi="Times New Roman" w:eastAsia="仿宋" w:cs="Times New Roman"/>
          <w:color w:val="auto"/>
          <w:spacing w:val="-2"/>
          <w:sz w:val="28"/>
          <w:szCs w:val="28"/>
          <w:lang w:eastAsia="zh-CN"/>
        </w:rPr>
        <w:t>翁牛特旗境内现有5个地表水国考断面，分别为海日苏断面、大兴南断面、大兴北断面、广德公断面以及少郎河入西拉沐伦河断面，其中大兴北断面和广德公断面常年干涸无水，大兴南断面断流无水时间较多，且受天然降水影响较大，海日苏和少冷河入西拉木伦河河口断面虽水质持续向好，但面提升全旗地表水体优良比例难度极大。目前全旗千人以上饮用水源地保护区划定已完成，但尚未获得批复，保护区规范化建设亟需落实</w:t>
      </w:r>
      <w:bookmarkEnd w:id="50"/>
      <w:r>
        <w:rPr>
          <w:rFonts w:ascii="Times New Roman" w:hAnsi="Times New Roman" w:eastAsia="仿宋" w:cs="Times New Roman"/>
          <w:color w:val="auto"/>
          <w:spacing w:val="-2"/>
          <w:sz w:val="28"/>
          <w:szCs w:val="28"/>
          <w:lang w:eastAsia="zh-CN"/>
        </w:rPr>
        <w:t>。全旗地下水资源超载情况严重，制约发展。环境空气质量近5年保持持续稳定改善，全年优良天数比例保持在90%以上，但2023年各项指标均有所下降，尤其重污染天数增加明显，O</w:t>
      </w:r>
      <w:r>
        <w:rPr>
          <w:rFonts w:ascii="Times New Roman" w:hAnsi="Times New Roman" w:eastAsia="仿宋" w:cs="Times New Roman"/>
          <w:color w:val="auto"/>
          <w:spacing w:val="-2"/>
          <w:sz w:val="28"/>
          <w:szCs w:val="28"/>
          <w:vertAlign w:val="subscript"/>
          <w:lang w:eastAsia="zh-CN"/>
        </w:rPr>
        <w:t>3</w:t>
      </w:r>
      <w:r>
        <w:rPr>
          <w:rFonts w:ascii="Times New Roman" w:hAnsi="Times New Roman" w:eastAsia="仿宋" w:cs="Times New Roman"/>
          <w:color w:val="auto"/>
          <w:spacing w:val="-2"/>
          <w:sz w:val="28"/>
          <w:szCs w:val="28"/>
          <w:lang w:eastAsia="zh-CN"/>
        </w:rPr>
        <w:t>污染物超标天数占比显著增加，环境空气保持稳定并持续改善形势不容乐观</w:t>
      </w:r>
      <w:bookmarkEnd w:id="51"/>
      <w:bookmarkEnd w:id="52"/>
      <w:r>
        <w:rPr>
          <w:rFonts w:ascii="Times New Roman" w:hAnsi="Times New Roman" w:eastAsia="仿宋" w:cs="Times New Roman"/>
          <w:color w:val="auto"/>
          <w:spacing w:val="-2"/>
          <w:sz w:val="28"/>
          <w:szCs w:val="28"/>
          <w:lang w:eastAsia="zh-CN"/>
        </w:rPr>
        <w:t>。</w:t>
      </w:r>
    </w:p>
    <w:p w14:paraId="030ECFB9">
      <w:pPr>
        <w:spacing w:line="560" w:lineRule="exact"/>
        <w:ind w:firstLine="542" w:firstLineChars="200"/>
        <w:jc w:val="both"/>
        <w:rPr>
          <w:rFonts w:ascii="Times New Roman" w:hAnsi="Times New Roman" w:eastAsia="仿宋" w:cs="Times New Roman"/>
          <w:b/>
          <w:color w:val="auto"/>
          <w:spacing w:val="-5"/>
          <w:sz w:val="28"/>
          <w:szCs w:val="28"/>
          <w:lang w:eastAsia="zh-CN"/>
        </w:rPr>
      </w:pPr>
      <w:r>
        <w:rPr>
          <w:rFonts w:ascii="Times New Roman" w:hAnsi="Times New Roman" w:eastAsia="仿宋" w:cs="Times New Roman"/>
          <w:b/>
          <w:color w:val="auto"/>
          <w:spacing w:val="-5"/>
          <w:sz w:val="28"/>
          <w:szCs w:val="28"/>
          <w:lang w:eastAsia="zh-CN"/>
        </w:rPr>
        <w:t>（四）生态文明制度建设有待完善</w:t>
      </w:r>
    </w:p>
    <w:p w14:paraId="70E0BD18">
      <w:pPr>
        <w:spacing w:line="560" w:lineRule="exact"/>
        <w:ind w:firstLine="561"/>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lang w:eastAsia="zh-CN"/>
        </w:rPr>
        <w:t>生态文明建设方面的地方性法规不健全，生态修复、环境公益诉讼、生态补偿等重点领域的地方性法规未出台，环保责任追究、环境损害赔偿、环境审计、环境监测、重大环境污染和生态破坏事件处理、政府环境应急响应、生态绩效考核、环境生态问责、离任生态审计等生态制度需进一步健全完善</w:t>
      </w:r>
      <w:bookmarkStart w:id="53" w:name="bookmark16"/>
      <w:bookmarkEnd w:id="53"/>
      <w:bookmarkStart w:id="54" w:name="bookmark15"/>
      <w:bookmarkEnd w:id="54"/>
      <w:r>
        <w:rPr>
          <w:rFonts w:ascii="Times New Roman" w:hAnsi="Times New Roman" w:eastAsia="仿宋" w:cs="Times New Roman"/>
          <w:color w:val="auto"/>
          <w:spacing w:val="-1"/>
          <w:sz w:val="28"/>
          <w:szCs w:val="28"/>
          <w:lang w:eastAsia="zh-CN"/>
        </w:rPr>
        <w:t>。</w:t>
      </w:r>
    </w:p>
    <w:p w14:paraId="787CF080">
      <w:pPr>
        <w:spacing w:line="560" w:lineRule="exact"/>
        <w:ind w:firstLine="542" w:firstLineChars="200"/>
        <w:jc w:val="both"/>
        <w:rPr>
          <w:rFonts w:ascii="Times New Roman" w:hAnsi="Times New Roman" w:eastAsia="仿宋" w:cs="Times New Roman"/>
          <w:b/>
          <w:color w:val="auto"/>
          <w:spacing w:val="-5"/>
          <w:sz w:val="28"/>
          <w:szCs w:val="28"/>
          <w:lang w:eastAsia="zh-CN"/>
        </w:rPr>
      </w:pPr>
      <w:r>
        <w:rPr>
          <w:rFonts w:ascii="Times New Roman" w:hAnsi="Times New Roman" w:eastAsia="仿宋" w:cs="Times New Roman"/>
          <w:b/>
          <w:color w:val="auto"/>
          <w:spacing w:val="-5"/>
          <w:sz w:val="28"/>
          <w:szCs w:val="28"/>
          <w:lang w:eastAsia="zh-CN"/>
        </w:rPr>
        <w:t>（五）生态价值转化任重道远</w:t>
      </w:r>
    </w:p>
    <w:p w14:paraId="78C33DA6">
      <w:pPr>
        <w:spacing w:line="560" w:lineRule="exact"/>
        <w:ind w:firstLine="548" w:firstLineChars="200"/>
        <w:jc w:val="both"/>
        <w:rPr>
          <w:rFonts w:ascii="Times New Roman" w:hAnsi="Times New Roman" w:eastAsia="仿宋" w:cs="Times New Roman"/>
          <w:bCs/>
          <w:color w:val="auto"/>
          <w:spacing w:val="-3"/>
          <w:sz w:val="28"/>
          <w:szCs w:val="28"/>
          <w:lang w:eastAsia="zh-CN"/>
        </w:rPr>
      </w:pPr>
      <w:r>
        <w:rPr>
          <w:rFonts w:ascii="Times New Roman" w:hAnsi="Times New Roman" w:eastAsia="仿宋" w:cs="Times New Roman"/>
          <w:bCs/>
          <w:color w:val="auto"/>
          <w:spacing w:val="-3"/>
          <w:sz w:val="28"/>
          <w:szCs w:val="28"/>
          <w:lang w:eastAsia="zh-CN"/>
        </w:rPr>
        <w:t>翁牛特旗生态环境基础良好，草原综合植被盖度达54.0%，森林覆盖率达28.24%，空气优良天数多；资源优势明显，生物、风能、旅游资源丰富，畜产品品质优良，具有将绿水青山转化为金山银山的坚实基础。但优质生态产品的培育和开发较为薄弱，生态资源权益交易机制尚未建立，以生态产品为核心的跨区域生态补偿机制仍需进一步完善。符合翁牛特旗现实情况的生态产品价值实现机制和模式需要较长时间的探索才能建立起来。</w:t>
      </w:r>
      <w:bookmarkEnd w:id="45"/>
      <w:bookmarkEnd w:id="46"/>
      <w:bookmarkEnd w:id="47"/>
    </w:p>
    <w:p w14:paraId="2900CFA8">
      <w:pPr>
        <w:spacing w:line="560" w:lineRule="exact"/>
        <w:jc w:val="both"/>
        <w:outlineLvl w:val="0"/>
        <w:rPr>
          <w:rFonts w:ascii="Times New Roman" w:hAnsi="Times New Roman" w:eastAsia="黑体" w:cs="Times New Roman"/>
          <w:b/>
          <w:bCs/>
          <w:color w:val="auto"/>
          <w:spacing w:val="2"/>
          <w:sz w:val="43"/>
          <w:szCs w:val="43"/>
          <w:lang w:eastAsia="zh-CN"/>
        </w:rPr>
        <w:sectPr>
          <w:headerReference r:id="rId5" w:type="default"/>
          <w:footerReference r:id="rId6" w:type="default"/>
          <w:pgSz w:w="11907" w:h="16839"/>
          <w:pgMar w:top="1440" w:right="1797" w:bottom="1440" w:left="1797" w:header="1020" w:footer="1020" w:gutter="0"/>
          <w:pgNumType w:start="1"/>
          <w:cols w:space="720" w:num="1"/>
          <w:docGrid w:linePitch="286" w:charSpace="0"/>
        </w:sectPr>
      </w:pPr>
      <w:bookmarkStart w:id="55" w:name="bookmark20"/>
      <w:bookmarkEnd w:id="55"/>
      <w:bookmarkStart w:id="56" w:name="bookmark17"/>
      <w:bookmarkEnd w:id="56"/>
      <w:bookmarkStart w:id="57" w:name="bookmark18"/>
      <w:bookmarkEnd w:id="57"/>
    </w:p>
    <w:p w14:paraId="1F2B1CE0">
      <w:pPr>
        <w:pStyle w:val="2"/>
        <w:jc w:val="center"/>
        <w:rPr>
          <w:rFonts w:hint="default" w:ascii="Times New Roman" w:hAnsi="Times New Roman"/>
          <w:color w:val="auto"/>
        </w:rPr>
      </w:pPr>
      <w:bookmarkStart w:id="58" w:name="_Toc183187226"/>
      <w:r>
        <w:rPr>
          <w:rFonts w:hint="default" w:ascii="Times New Roman" w:hAnsi="Times New Roman"/>
          <w:color w:val="auto"/>
        </w:rPr>
        <w:t>第二章 规划总则</w:t>
      </w:r>
      <w:bookmarkEnd w:id="58"/>
    </w:p>
    <w:p w14:paraId="53FF83BB">
      <w:pPr>
        <w:pStyle w:val="3"/>
        <w:rPr>
          <w:rFonts w:ascii="Times New Roman" w:hAnsi="Times New Roman" w:cs="Times New Roman"/>
          <w:color w:val="auto"/>
          <w:lang w:eastAsia="zh-CN"/>
        </w:rPr>
      </w:pPr>
      <w:bookmarkStart w:id="59" w:name="bookmark19"/>
      <w:bookmarkEnd w:id="59"/>
      <w:bookmarkStart w:id="60" w:name="_Toc183187227"/>
      <w:r>
        <w:rPr>
          <w:rFonts w:ascii="Times New Roman" w:hAnsi="Times New Roman" w:cs="Times New Roman"/>
          <w:color w:val="auto"/>
          <w:lang w:eastAsia="zh-CN"/>
        </w:rPr>
        <w:t>一、指导思想</w:t>
      </w:r>
      <w:bookmarkEnd w:id="60"/>
    </w:p>
    <w:p w14:paraId="0C6D8C48">
      <w:pPr>
        <w:spacing w:line="560" w:lineRule="exact"/>
        <w:ind w:firstLine="584"/>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全面贯彻党的二十大和二十届一中、二中、三中全会精神，以习近平新时代中国特色社会主义思想和习近平生态文明思想为指导，以铸牢中华民族共同体意识为主线，、以国家生态文明建设示范旗创建为载体，以筑牢祖国北疆生态屏障为核心，以碳中和、碳达峰为总抓</w:t>
      </w:r>
      <w:bookmarkStart w:id="61" w:name="OLE_LINK8"/>
      <w:r>
        <w:rPr>
          <w:rFonts w:ascii="Times New Roman" w:hAnsi="Times New Roman" w:eastAsia="仿宋" w:cs="Times New Roman"/>
          <w:color w:val="auto"/>
          <w:spacing w:val="-5"/>
          <w:sz w:val="28"/>
          <w:szCs w:val="28"/>
          <w:lang w:eastAsia="zh-CN"/>
        </w:rPr>
        <w:t>手，以草</w:t>
      </w:r>
      <w:bookmarkEnd w:id="61"/>
      <w:r>
        <w:rPr>
          <w:rFonts w:ascii="Times New Roman" w:hAnsi="Times New Roman" w:eastAsia="仿宋" w:cs="Times New Roman"/>
          <w:color w:val="auto"/>
          <w:spacing w:val="-5"/>
          <w:sz w:val="28"/>
          <w:szCs w:val="28"/>
          <w:lang w:eastAsia="zh-CN"/>
        </w:rPr>
        <w:t>原和沙地为重点，统筹推进山水林田湖草沙一体化系统保护治理，以水环境质量改善和节能为重点，推动减污降碳协同增效，促进经济社会发展全面绿色转型，以生态环境高水平保护推动经济高质量发展，努力建设人与自然和谐共生的美丽翁牛特，为祖国北疆生态屏障区域生态文明和美丽中国建设提供翁牛特方案。牢固树立尊重自然、顺应自然和保护自然的理念，坚持生态优先、绿色发展，切实践行绿水青山就是金山银山的理念，全力落实“五大任务”，全方位建设“模范自治区”，践行低碳绿色生活，弘扬优秀玉龙文化，推动翁牛特旗走上生产发展、生活富裕、生态良好的文明发展之路。</w:t>
      </w:r>
    </w:p>
    <w:p w14:paraId="61AB567C">
      <w:pPr>
        <w:pStyle w:val="3"/>
        <w:rPr>
          <w:rFonts w:ascii="Times New Roman" w:hAnsi="Times New Roman" w:cs="Times New Roman"/>
          <w:color w:val="auto"/>
          <w:lang w:eastAsia="zh-CN"/>
        </w:rPr>
      </w:pPr>
      <w:bookmarkStart w:id="62" w:name="bookmark21"/>
      <w:bookmarkEnd w:id="62"/>
      <w:bookmarkStart w:id="63" w:name="bookmark22"/>
      <w:bookmarkEnd w:id="63"/>
      <w:bookmarkStart w:id="64" w:name="_Toc183187228"/>
      <w:r>
        <w:rPr>
          <w:rFonts w:ascii="Times New Roman" w:hAnsi="Times New Roman" w:cs="Times New Roman"/>
          <w:color w:val="auto"/>
          <w:lang w:eastAsia="zh-CN"/>
        </w:rPr>
        <w:t>二、规划原则</w:t>
      </w:r>
      <w:bookmarkEnd w:id="64"/>
    </w:p>
    <w:p w14:paraId="45ED81E8">
      <w:pPr>
        <w:pStyle w:val="8"/>
        <w:widowControl w:val="0"/>
        <w:spacing w:line="560" w:lineRule="exact"/>
        <w:ind w:firstLine="542" w:firstLineChars="200"/>
        <w:jc w:val="both"/>
        <w:rPr>
          <w:rFonts w:ascii="Times New Roman" w:hAnsi="Times New Roman" w:eastAsia="仿宋" w:cs="Times New Roman"/>
          <w:snapToGrid/>
          <w:color w:val="auto"/>
          <w:spacing w:val="-5"/>
          <w:sz w:val="28"/>
          <w:szCs w:val="28"/>
          <w:lang w:eastAsia="zh-CN"/>
        </w:rPr>
      </w:pPr>
      <w:r>
        <w:rPr>
          <w:rFonts w:ascii="Times New Roman" w:hAnsi="Times New Roman" w:eastAsia="仿宋" w:cs="Times New Roman"/>
          <w:b/>
          <w:color w:val="auto"/>
          <w:spacing w:val="-5"/>
          <w:sz w:val="28"/>
          <w:szCs w:val="28"/>
          <w:lang w:eastAsia="zh-CN"/>
        </w:rPr>
        <w:t>坚持生态优先、绿色发展。</w:t>
      </w:r>
      <w:r>
        <w:rPr>
          <w:rFonts w:ascii="Times New Roman" w:hAnsi="Times New Roman" w:eastAsia="仿宋" w:cs="Times New Roman"/>
          <w:snapToGrid/>
          <w:color w:val="auto"/>
          <w:spacing w:val="-5"/>
          <w:sz w:val="28"/>
          <w:szCs w:val="28"/>
          <w:lang w:eastAsia="zh-CN"/>
        </w:rPr>
        <w:t xml:space="preserve">遵循重点生态功能区主体功能定位，对自然保护区、湿地公园、森林公园、生态保护红线区等需要严格保护的区域实施强制性保护，在环境容量允许范围内及自然资源可承载基础上，巩固锡林郭勒盟的生态优势，坚持经济建设与环境保护并举， </w:t>
      </w:r>
      <w:bookmarkStart w:id="65" w:name="OLE_LINK10"/>
      <w:bookmarkStart w:id="66" w:name="OLE_LINK9"/>
      <w:r>
        <w:rPr>
          <w:rFonts w:ascii="Times New Roman" w:hAnsi="Times New Roman" w:eastAsia="仿宋" w:cs="Times New Roman"/>
          <w:snapToGrid/>
          <w:color w:val="auto"/>
          <w:spacing w:val="-5"/>
          <w:sz w:val="28"/>
          <w:szCs w:val="28"/>
          <w:lang w:eastAsia="zh-CN"/>
        </w:rPr>
        <w:t>走绿色富旗、生态惠民的文明发展道路，形成绿色发展方式和生活方式，在保护中促进发展，在发展中落实保护，推进经济社会生态效益相统一，实现美丽与发展双赢。</w:t>
      </w:r>
    </w:p>
    <w:p w14:paraId="78DB27A8">
      <w:pPr>
        <w:pStyle w:val="8"/>
        <w:widowControl w:val="0"/>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坚持因地制宜、分类施策。</w:t>
      </w:r>
      <w:r>
        <w:rPr>
          <w:rFonts w:ascii="Times New Roman" w:hAnsi="Times New Roman" w:eastAsia="仿宋" w:cs="Times New Roman"/>
          <w:color w:val="auto"/>
          <w:spacing w:val="-5"/>
          <w:sz w:val="28"/>
          <w:szCs w:val="28"/>
          <w:lang w:eastAsia="zh-CN"/>
        </w:rPr>
        <w:t>立足翁牛特旗地域特色，以补齐翁牛特旗生态文明建设短板为重点，全面提升生态文明建设水平；注重分析翁牛特旗地理环境、资源禀赋、生</w:t>
      </w:r>
      <w:bookmarkEnd w:id="65"/>
      <w:bookmarkEnd w:id="66"/>
      <w:r>
        <w:rPr>
          <w:rFonts w:ascii="Times New Roman" w:hAnsi="Times New Roman" w:eastAsia="仿宋" w:cs="Times New Roman"/>
          <w:color w:val="auto"/>
          <w:spacing w:val="-5"/>
          <w:sz w:val="28"/>
          <w:szCs w:val="28"/>
          <w:lang w:eastAsia="zh-CN"/>
        </w:rPr>
        <w:t>态本底和社会经济现状，结合翁牛特旗实际情况，注重发挥翁牛特旗区位、环境和资源优势，突出重点、精准施策、分类建设，确保翁牛特旗生态文明建设走进新阶段。坚持重点突破与整体推进相结合紧密结合原则，着力解决重点地区、重点领域突出问题，结合不同区域发展特色，将生态文明建设融入到经济建设、政治建设、文化建设、社会建设各方面和全过程。</w:t>
      </w:r>
    </w:p>
    <w:p w14:paraId="0A8D6340">
      <w:pPr>
        <w:pStyle w:val="8"/>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坚持统筹谋划、系统治理。</w:t>
      </w:r>
      <w:r>
        <w:rPr>
          <w:rFonts w:ascii="Times New Roman" w:hAnsi="Times New Roman" w:eastAsia="仿宋" w:cs="Times New Roman"/>
          <w:color w:val="auto"/>
          <w:spacing w:val="-5"/>
          <w:sz w:val="28"/>
          <w:szCs w:val="28"/>
          <w:lang w:eastAsia="zh-CN"/>
        </w:rPr>
        <w:t>始终坚持“山水林田湖草沙是生命共同体”的理念，从生态系统整体性出发，统筹山水林田湖草沙等生态要素，坚持以水定城、以水定地、以水定人、以水定产，协同推进减污降碳，按照系统工程思路推进生态环境综合治理、源头治理，全方位开展生态文明建设。</w:t>
      </w:r>
      <w:bookmarkStart w:id="67" w:name="OLE_LINK11"/>
      <w:r>
        <w:rPr>
          <w:rFonts w:ascii="Times New Roman" w:hAnsi="Times New Roman" w:eastAsia="仿宋" w:cs="Times New Roman"/>
          <w:color w:val="auto"/>
          <w:spacing w:val="-5"/>
          <w:sz w:val="28"/>
          <w:szCs w:val="28"/>
          <w:lang w:eastAsia="zh-CN"/>
        </w:rPr>
        <w:t>坚持近期工作与实现长远发展目标紧密结合，科学制定规划发展目标和具体举措，实现可持续发展。</w:t>
      </w:r>
    </w:p>
    <w:bookmarkEnd w:id="67"/>
    <w:p w14:paraId="6D25549B">
      <w:pPr>
        <w:pStyle w:val="8"/>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坚持政府主导、全民行动。</w:t>
      </w:r>
      <w:r>
        <w:rPr>
          <w:rFonts w:ascii="Times New Roman" w:hAnsi="Times New Roman" w:eastAsia="仿宋" w:cs="Times New Roman"/>
          <w:color w:val="auto"/>
          <w:spacing w:val="-5"/>
          <w:sz w:val="28"/>
          <w:szCs w:val="28"/>
          <w:lang w:eastAsia="zh-CN"/>
        </w:rPr>
        <w:t>坚持“生态翁旗”目标定位，综合运用党委领导、政府主导、企业主体、社会组织和公众共同参与的现代环境治理体系，在抓落实、求实效上持续用力、形成合力。同时，强化企业生态环境保护意识和责任，提高公众参与的积极性、广泛性，鼓励与支持民间团体参与生态文明示范创建活动，创建政府主导、企业参与和全民公众监督参与紧密结合的生态文明建设共建共治共享新局面。</w:t>
      </w:r>
    </w:p>
    <w:p w14:paraId="4C2BADA7">
      <w:pPr>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坚持以人为本、民生为先。</w:t>
      </w:r>
      <w:r>
        <w:rPr>
          <w:rFonts w:ascii="Times New Roman" w:hAnsi="Times New Roman" w:eastAsia="仿宋" w:cs="Times New Roman"/>
          <w:color w:val="auto"/>
          <w:spacing w:val="-5"/>
          <w:sz w:val="28"/>
          <w:szCs w:val="28"/>
          <w:lang w:eastAsia="zh-CN"/>
        </w:rPr>
        <w:t>坚持以人民为中心的发展思想，把坚持人民至上、紧紧依靠人民、不断造福人民、牢牢植根人民的要求落实到生态环境保护工作中，站在民生福祉的高度来推进各项生态文明建设，切实解决人民群众最为关注的突出环境问题，改善人居环境，推动城乡基础设施建设，努力提供更多优质生态产品，打造美丽、宜居、幸福家园，最大限度满足人民群众对良好生态环境的热切期盼，让人民群众充分共享生态文明建设成果。</w:t>
      </w:r>
    </w:p>
    <w:p w14:paraId="557D729C">
      <w:pPr>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坚持因地制宜，突出特色。</w:t>
      </w:r>
      <w:r>
        <w:rPr>
          <w:rFonts w:ascii="Times New Roman" w:hAnsi="Times New Roman" w:eastAsia="仿宋" w:cs="Times New Roman"/>
          <w:color w:val="auto"/>
          <w:spacing w:val="-5"/>
          <w:sz w:val="28"/>
          <w:szCs w:val="28"/>
          <w:lang w:eastAsia="zh-CN"/>
        </w:rPr>
        <w:t>因地制宜，充分发挥翁牛特旗草原、森林、沙漠</w:t>
      </w:r>
      <w:r>
        <w:rPr>
          <w:rFonts w:ascii="Times New Roman" w:hAnsi="Times New Roman" w:eastAsia="仿宋" w:cs="Times New Roman"/>
          <w:color w:val="auto"/>
          <w:spacing w:val="-5"/>
          <w:sz w:val="28"/>
          <w:szCs w:val="28"/>
          <w:shd w:val="clear" w:color="auto" w:fill="FFFFFF" w:themeFill="background1"/>
          <w:lang w:eastAsia="zh-CN"/>
        </w:rPr>
        <w:t>、</w:t>
      </w:r>
      <w:r>
        <w:rPr>
          <w:rFonts w:ascii="Times New Roman" w:hAnsi="Times New Roman" w:eastAsia="仿宋" w:cs="Times New Roman"/>
          <w:color w:val="auto"/>
          <w:sz w:val="28"/>
          <w:szCs w:val="24"/>
          <w:shd w:val="clear" w:color="auto" w:fill="FFFFFF" w:themeFill="background1"/>
          <w:lang w:eastAsia="zh-CN" w:bidi="ar"/>
        </w:rPr>
        <w:t>湖泊</w:t>
      </w:r>
      <w:r>
        <w:rPr>
          <w:rFonts w:ascii="Times New Roman" w:hAnsi="Times New Roman" w:eastAsia="仿宋" w:cs="Times New Roman"/>
          <w:color w:val="auto"/>
          <w:spacing w:val="-5"/>
          <w:sz w:val="28"/>
          <w:szCs w:val="28"/>
          <w:shd w:val="clear" w:color="auto" w:fill="FFFFFF" w:themeFill="background1"/>
          <w:lang w:eastAsia="zh-CN"/>
        </w:rPr>
        <w:t>等特色生态资源优势，迎合社会安全食品、绿色旅游、健康养老等社会需求，</w:t>
      </w:r>
      <w:r>
        <w:rPr>
          <w:rFonts w:ascii="Times New Roman" w:hAnsi="Times New Roman" w:eastAsia="仿宋" w:cs="Times New Roman"/>
          <w:color w:val="auto"/>
          <w:spacing w:val="-5"/>
          <w:sz w:val="28"/>
          <w:szCs w:val="28"/>
          <w:lang w:eastAsia="zh-CN"/>
        </w:rPr>
        <w:t>厚植人与自然和谐发展的现代生态文明观，兼容并蓄、不断创新，突出祖国北疆生态安全屏障特色，全面提升高质量发展综合竞争力。</w:t>
      </w:r>
    </w:p>
    <w:p w14:paraId="42B1B683">
      <w:pPr>
        <w:spacing w:line="560" w:lineRule="exact"/>
        <w:jc w:val="both"/>
        <w:outlineLvl w:val="1"/>
        <w:rPr>
          <w:rFonts w:ascii="Times New Roman" w:hAnsi="Times New Roman" w:eastAsia="黑体" w:cs="Times New Roman"/>
          <w:b/>
          <w:bCs/>
          <w:color w:val="auto"/>
          <w:sz w:val="30"/>
          <w:szCs w:val="32"/>
          <w:lang w:eastAsia="zh-CN"/>
        </w:rPr>
      </w:pPr>
      <w:bookmarkStart w:id="68" w:name="bookmark24"/>
      <w:bookmarkEnd w:id="68"/>
      <w:bookmarkStart w:id="69" w:name="bookmark23"/>
      <w:bookmarkEnd w:id="69"/>
      <w:bookmarkStart w:id="70" w:name="_Toc183187229"/>
      <w:r>
        <w:rPr>
          <w:rFonts w:ascii="Times New Roman" w:hAnsi="Times New Roman" w:eastAsia="黑体" w:cs="Times New Roman"/>
          <w:b/>
          <w:bCs/>
          <w:color w:val="auto"/>
          <w:sz w:val="30"/>
          <w:szCs w:val="32"/>
          <w:lang w:eastAsia="zh-CN"/>
        </w:rPr>
        <w:t>三、规划范围</w:t>
      </w:r>
      <w:bookmarkEnd w:id="70"/>
    </w:p>
    <w:p w14:paraId="36B38713">
      <w:pPr>
        <w:spacing w:line="560" w:lineRule="exact"/>
        <w:ind w:firstLine="527"/>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规划范围为翁牛特旗辖区，包括乌丹镇、桥头镇、梧桐花镇、广德公镇、五分地镇、乌敦套海镇、海拉苏镇、亿合公镇，8个镇；解放营子乡、毛山东乡，2个乡；新苏莫苏木、白音套海苏木、阿什罕苏木、格日僧苏木，4个苏木；全宁街道办事处、紫城街道办事处，2个办事处。</w:t>
      </w:r>
    </w:p>
    <w:p w14:paraId="2051A252">
      <w:pPr>
        <w:spacing w:line="560" w:lineRule="exact"/>
        <w:jc w:val="both"/>
        <w:outlineLvl w:val="1"/>
        <w:rPr>
          <w:rFonts w:ascii="Times New Roman" w:hAnsi="Times New Roman" w:eastAsia="黑体" w:cs="Times New Roman"/>
          <w:b/>
          <w:bCs/>
          <w:color w:val="auto"/>
          <w:sz w:val="30"/>
          <w:szCs w:val="32"/>
          <w:lang w:eastAsia="zh-CN"/>
        </w:rPr>
      </w:pPr>
      <w:bookmarkStart w:id="71" w:name="bookmark25"/>
      <w:bookmarkEnd w:id="71"/>
      <w:bookmarkStart w:id="72" w:name="bookmark26"/>
      <w:bookmarkEnd w:id="72"/>
      <w:bookmarkStart w:id="73" w:name="_Toc183187230"/>
      <w:r>
        <w:rPr>
          <w:rFonts w:ascii="Times New Roman" w:hAnsi="Times New Roman" w:eastAsia="黑体" w:cs="Times New Roman"/>
          <w:b/>
          <w:bCs/>
          <w:color w:val="auto"/>
          <w:sz w:val="30"/>
          <w:szCs w:val="32"/>
          <w:lang w:eastAsia="zh-CN"/>
        </w:rPr>
        <w:t>四、规划期限</w:t>
      </w:r>
      <w:bookmarkEnd w:id="73"/>
    </w:p>
    <w:p w14:paraId="2D2E6913">
      <w:pPr>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规划基准年为2023年，规划期为2024－2030年，分为两个阶段，其中规划近期为2024-2025年，</w:t>
      </w:r>
      <w:r>
        <w:rPr>
          <w:rFonts w:ascii="Times New Roman" w:hAnsi="Times New Roman" w:eastAsia="仿宋" w:cs="Times New Roman"/>
          <w:color w:val="auto"/>
          <w:spacing w:val="-3"/>
          <w:sz w:val="28"/>
          <w:szCs w:val="28"/>
          <w:lang w:eastAsia="zh-CN"/>
        </w:rPr>
        <w:t>生态文明建设的提升阶段；</w:t>
      </w:r>
      <w:r>
        <w:rPr>
          <w:rFonts w:ascii="Times New Roman" w:hAnsi="Times New Roman" w:eastAsia="仿宋" w:cs="Times New Roman"/>
          <w:color w:val="auto"/>
          <w:spacing w:val="-5"/>
          <w:sz w:val="28"/>
          <w:szCs w:val="28"/>
          <w:lang w:eastAsia="zh-CN"/>
        </w:rPr>
        <w:t>规划中远期为2026-2030年，</w:t>
      </w:r>
      <w:r>
        <w:rPr>
          <w:rFonts w:ascii="Times New Roman" w:hAnsi="Times New Roman" w:eastAsia="仿宋" w:cs="Times New Roman"/>
          <w:color w:val="auto"/>
          <w:spacing w:val="-2"/>
          <w:sz w:val="28"/>
          <w:szCs w:val="28"/>
          <w:lang w:eastAsia="zh-CN"/>
        </w:rPr>
        <w:t>生态文明建设的深化巩固阶段</w:t>
      </w:r>
      <w:r>
        <w:rPr>
          <w:rFonts w:ascii="Times New Roman" w:hAnsi="Times New Roman" w:eastAsia="仿宋" w:cs="Times New Roman"/>
          <w:color w:val="auto"/>
          <w:spacing w:val="-5"/>
          <w:sz w:val="28"/>
          <w:szCs w:val="28"/>
          <w:lang w:eastAsia="zh-CN"/>
        </w:rPr>
        <w:t>。</w:t>
      </w:r>
    </w:p>
    <w:p w14:paraId="6881B62C">
      <w:pPr>
        <w:spacing w:line="560" w:lineRule="exact"/>
        <w:jc w:val="both"/>
        <w:outlineLvl w:val="1"/>
        <w:rPr>
          <w:rFonts w:ascii="Times New Roman" w:hAnsi="Times New Roman" w:eastAsia="黑体" w:cs="Times New Roman"/>
          <w:b/>
          <w:bCs/>
          <w:color w:val="auto"/>
          <w:sz w:val="30"/>
          <w:szCs w:val="32"/>
          <w:lang w:eastAsia="zh-CN"/>
        </w:rPr>
      </w:pPr>
      <w:bookmarkStart w:id="74" w:name="bookmark28"/>
      <w:bookmarkEnd w:id="74"/>
      <w:bookmarkStart w:id="75" w:name="bookmark27"/>
      <w:bookmarkEnd w:id="75"/>
      <w:bookmarkStart w:id="76" w:name="_Toc183187231"/>
      <w:r>
        <w:rPr>
          <w:rFonts w:ascii="Times New Roman" w:hAnsi="Times New Roman" w:eastAsia="黑体" w:cs="Times New Roman"/>
          <w:b/>
          <w:bCs/>
          <w:color w:val="auto"/>
          <w:sz w:val="30"/>
          <w:szCs w:val="32"/>
          <w:lang w:eastAsia="zh-CN"/>
        </w:rPr>
        <w:t>五、规划目标</w:t>
      </w:r>
      <w:bookmarkEnd w:id="76"/>
    </w:p>
    <w:p w14:paraId="53369FA2">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77" w:name="_Toc183187232"/>
      <w:bookmarkStart w:id="78" w:name="OLE_LINK182"/>
      <w:bookmarkStart w:id="79" w:name="OLE_LINK183"/>
      <w:r>
        <w:rPr>
          <w:rFonts w:ascii="Times New Roman" w:hAnsi="Times New Roman" w:eastAsia="仿宋" w:cs="Times New Roman"/>
          <w:b/>
          <w:bCs/>
          <w:color w:val="auto"/>
          <w:spacing w:val="-2"/>
          <w:sz w:val="28"/>
          <w:szCs w:val="28"/>
          <w:lang w:eastAsia="zh-CN"/>
        </w:rPr>
        <w:t>（一）总目标</w:t>
      </w:r>
      <w:bookmarkEnd w:id="77"/>
    </w:p>
    <w:bookmarkEnd w:id="78"/>
    <w:bookmarkEnd w:id="79"/>
    <w:p w14:paraId="403A2B55">
      <w:pPr>
        <w:pStyle w:val="8"/>
        <w:spacing w:line="560" w:lineRule="exact"/>
        <w:ind w:firstLine="560"/>
        <w:rPr>
          <w:rFonts w:ascii="Times New Roman" w:hAnsi="Times New Roman" w:eastAsia="仿宋" w:cs="Times New Roman"/>
          <w:color w:val="auto"/>
          <w:spacing w:val="-5"/>
          <w:sz w:val="28"/>
          <w:szCs w:val="28"/>
          <w:lang w:eastAsia="zh-CN"/>
        </w:rPr>
      </w:pPr>
      <w:bookmarkStart w:id="80" w:name="OLE_LINK126"/>
      <w:bookmarkStart w:id="81" w:name="OLE_LINK127"/>
      <w:bookmarkStart w:id="82" w:name="OLE_LINK130"/>
      <w:bookmarkStart w:id="83" w:name="OLE_LINK131"/>
      <w:bookmarkStart w:id="84" w:name="OLE_LINK142"/>
      <w:bookmarkStart w:id="85" w:name="OLE_LINK148"/>
      <w:r>
        <w:rPr>
          <w:rFonts w:ascii="Times New Roman" w:hAnsi="Times New Roman" w:eastAsia="仿宋" w:cs="Times New Roman"/>
          <w:color w:val="auto"/>
          <w:spacing w:val="-5"/>
          <w:sz w:val="28"/>
          <w:szCs w:val="28"/>
          <w:lang w:eastAsia="zh-CN"/>
        </w:rPr>
        <w:t>坚持创建目标导向、指标导向、问题导向“三个”导向，生产、生活、生态“三生”并举，生态自然化、经济绿色化、生活低碳化、意识文明化和制度严格化“五化”同步，依据《国家生态文明建设示范区（县）建设指标》《生态文明建设示范区管理规程》，针对翁牛特旗生态文明建设示范创建急需解决的生态保护、污染防治、资源利用等方面的问题，通过落实目标责任，建设生态环境、生态空间、生态经济、生态文化体系，建设多项重点工程，建成国家生态文明建设示范旗，打造具有翁旗特色的北方防沙带生态文明建设样板和落实</w:t>
      </w:r>
      <w:r>
        <w:rPr>
          <w:rFonts w:hint="eastAsia" w:ascii="Times New Roman" w:hAnsi="Times New Roman" w:eastAsia="仿宋" w:cs="Times New Roman"/>
          <w:color w:val="auto"/>
          <w:spacing w:val="-5"/>
          <w:sz w:val="28"/>
          <w:szCs w:val="28"/>
          <w:lang w:eastAsia="zh-CN"/>
        </w:rPr>
        <w:t>习近平</w:t>
      </w:r>
      <w:bookmarkStart w:id="608" w:name="_GoBack"/>
      <w:bookmarkEnd w:id="608"/>
      <w:r>
        <w:rPr>
          <w:rFonts w:ascii="Times New Roman" w:hAnsi="Times New Roman" w:eastAsia="仿宋" w:cs="Times New Roman"/>
          <w:color w:val="auto"/>
          <w:spacing w:val="-5"/>
          <w:sz w:val="28"/>
          <w:szCs w:val="28"/>
          <w:lang w:eastAsia="zh-CN"/>
        </w:rPr>
        <w:t>总书记视察内蒙古及赤峰市重要讲话精神的深度执行者。</w:t>
      </w:r>
      <w:bookmarkEnd w:id="80"/>
      <w:bookmarkEnd w:id="81"/>
    </w:p>
    <w:bookmarkEnd w:id="82"/>
    <w:bookmarkEnd w:id="83"/>
    <w:bookmarkEnd w:id="84"/>
    <w:bookmarkEnd w:id="85"/>
    <w:p w14:paraId="45508779">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86" w:name="bookmark29"/>
      <w:bookmarkEnd w:id="86"/>
      <w:bookmarkStart w:id="87" w:name="bookmark30"/>
      <w:bookmarkEnd w:id="87"/>
      <w:bookmarkStart w:id="88" w:name="_Toc183187233"/>
      <w:r>
        <w:rPr>
          <w:rFonts w:ascii="Times New Roman" w:hAnsi="Times New Roman" w:eastAsia="仿宋" w:cs="Times New Roman"/>
          <w:b/>
          <w:bCs/>
          <w:color w:val="auto"/>
          <w:spacing w:val="-2"/>
          <w:sz w:val="28"/>
          <w:szCs w:val="28"/>
          <w:lang w:eastAsia="zh-CN"/>
        </w:rPr>
        <w:t>（二）近期目标（2024-2025年）</w:t>
      </w:r>
      <w:bookmarkEnd w:id="88"/>
    </w:p>
    <w:p w14:paraId="3D69FD81">
      <w:pPr>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至 2025 年，</w:t>
      </w:r>
      <w:bookmarkStart w:id="89" w:name="OLE_LINK167"/>
      <w:bookmarkStart w:id="90" w:name="OLE_LINK166"/>
      <w:r>
        <w:rPr>
          <w:rFonts w:ascii="Times New Roman" w:hAnsi="Times New Roman" w:eastAsia="仿宋" w:cs="Times New Roman"/>
          <w:color w:val="auto"/>
          <w:spacing w:val="-5"/>
          <w:sz w:val="28"/>
          <w:szCs w:val="28"/>
          <w:lang w:eastAsia="zh-CN"/>
        </w:rPr>
        <w:t>生态文明建设示范旗各项指标（除城镇绿色建筑比例）总体达到国家考核标准</w:t>
      </w:r>
      <w:bookmarkEnd w:id="89"/>
      <w:bookmarkEnd w:id="90"/>
      <w:r>
        <w:rPr>
          <w:rFonts w:ascii="Times New Roman" w:hAnsi="Times New Roman" w:eastAsia="仿宋" w:cs="Times New Roman"/>
          <w:color w:val="auto"/>
          <w:spacing w:val="-5"/>
          <w:sz w:val="28"/>
          <w:szCs w:val="28"/>
          <w:lang w:eastAsia="zh-CN"/>
        </w:rPr>
        <w:t>。</w:t>
      </w:r>
      <w:bookmarkStart w:id="91" w:name="OLE_LINK168"/>
      <w:r>
        <w:rPr>
          <w:rFonts w:ascii="Times New Roman" w:hAnsi="Times New Roman" w:eastAsia="仿宋" w:cs="Times New Roman"/>
          <w:color w:val="auto"/>
          <w:spacing w:val="-5"/>
          <w:sz w:val="28"/>
          <w:szCs w:val="28"/>
          <w:lang w:eastAsia="zh-CN"/>
        </w:rPr>
        <w:t>“一屏一区·两廊三支·多点维护”的生态空间格局</w:t>
      </w:r>
      <w:bookmarkEnd w:id="91"/>
      <w:r>
        <w:rPr>
          <w:rFonts w:ascii="Times New Roman" w:hAnsi="Times New Roman" w:eastAsia="仿宋" w:cs="Times New Roman"/>
          <w:color w:val="auto"/>
          <w:spacing w:val="-5"/>
          <w:sz w:val="28"/>
          <w:szCs w:val="28"/>
          <w:lang w:eastAsia="zh-CN"/>
        </w:rPr>
        <w:t>初步形成，科尔沁沙地治理持续推进、</w:t>
      </w:r>
      <w:bookmarkStart w:id="92" w:name="OLE_LINK154"/>
      <w:bookmarkStart w:id="93" w:name="OLE_LINK155"/>
      <w:bookmarkStart w:id="94" w:name="OLE_LINK156"/>
      <w:bookmarkStart w:id="95" w:name="OLE_LINK158"/>
      <w:bookmarkStart w:id="96" w:name="OLE_LINK157"/>
      <w:r>
        <w:rPr>
          <w:rFonts w:ascii="Times New Roman" w:hAnsi="Times New Roman" w:eastAsia="仿宋" w:cs="Times New Roman"/>
          <w:color w:val="auto"/>
          <w:spacing w:val="-5"/>
          <w:sz w:val="28"/>
          <w:szCs w:val="28"/>
          <w:lang w:eastAsia="zh-CN"/>
        </w:rPr>
        <w:t>燕山余脉的天然生态屏障、西部山区水源涵养和生物多样性保护</w:t>
      </w:r>
      <w:bookmarkEnd w:id="92"/>
      <w:bookmarkEnd w:id="93"/>
      <w:bookmarkEnd w:id="94"/>
      <w:r>
        <w:rPr>
          <w:rFonts w:ascii="Times New Roman" w:hAnsi="Times New Roman" w:eastAsia="仿宋" w:cs="Times New Roman"/>
          <w:color w:val="auto"/>
          <w:spacing w:val="-5"/>
          <w:sz w:val="28"/>
          <w:szCs w:val="28"/>
          <w:lang w:eastAsia="zh-CN"/>
        </w:rPr>
        <w:t>等</w:t>
      </w:r>
      <w:bookmarkEnd w:id="95"/>
      <w:bookmarkEnd w:id="96"/>
      <w:r>
        <w:rPr>
          <w:rFonts w:ascii="Times New Roman" w:hAnsi="Times New Roman" w:eastAsia="仿宋" w:cs="Times New Roman"/>
          <w:color w:val="auto"/>
          <w:spacing w:val="-5"/>
          <w:sz w:val="28"/>
          <w:szCs w:val="28"/>
          <w:lang w:eastAsia="zh-CN"/>
        </w:rPr>
        <w:t>生态功不断提升。生态环境质量保持稳定的情况下有所改善，草原、湿地、农田、沙地四大生态系统保持稳定，基本完成内蒙古自治区下达的节能减排降碳目标任务。</w:t>
      </w:r>
    </w:p>
    <w:p w14:paraId="262F21D2">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97" w:name="bookmark32"/>
      <w:bookmarkEnd w:id="97"/>
      <w:bookmarkStart w:id="98" w:name="bookmark31"/>
      <w:bookmarkEnd w:id="98"/>
      <w:bookmarkStart w:id="99" w:name="_Toc183187234"/>
      <w:r>
        <w:rPr>
          <w:rFonts w:ascii="Times New Roman" w:hAnsi="Times New Roman" w:eastAsia="仿宋" w:cs="Times New Roman"/>
          <w:b/>
          <w:bCs/>
          <w:color w:val="auto"/>
          <w:spacing w:val="-2"/>
          <w:sz w:val="28"/>
          <w:szCs w:val="28"/>
          <w:lang w:eastAsia="zh-CN"/>
        </w:rPr>
        <w:t>（三）远期目标（2026-2030年）</w:t>
      </w:r>
      <w:bookmarkEnd w:id="99"/>
    </w:p>
    <w:p w14:paraId="7931349A">
      <w:pPr>
        <w:widowControl w:val="0"/>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到2030年，“一屏一区·两廊三支·多点维护”的生态空间格局全面形成，生态文明建设成果不断巩固提升。生态产业体系基本建立，城乡生态环境质量稳定提升，生态系统服务持续强化，生态文化氛围浓厚，生态文明建设理念深入人心，生态制度更加健全，生态文明建设示范旗各项指标全面优于国家考核标准，建成北方放沙带国家生态文明建设示范创建样板。</w:t>
      </w:r>
    </w:p>
    <w:p w14:paraId="6FBBE470">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100" w:name="bookmark34"/>
      <w:bookmarkEnd w:id="100"/>
      <w:bookmarkStart w:id="101" w:name="bookmark33"/>
      <w:bookmarkEnd w:id="101"/>
      <w:bookmarkStart w:id="102" w:name="_Toc183187235"/>
      <w:r>
        <w:rPr>
          <w:rFonts w:ascii="Times New Roman" w:hAnsi="Times New Roman" w:eastAsia="仿宋" w:cs="Times New Roman"/>
          <w:b/>
          <w:bCs/>
          <w:color w:val="auto"/>
          <w:spacing w:val="-2"/>
          <w:sz w:val="28"/>
          <w:szCs w:val="28"/>
          <w:lang w:eastAsia="zh-CN"/>
        </w:rPr>
        <w:t>（四）建设指标</w:t>
      </w:r>
      <w:bookmarkEnd w:id="102"/>
    </w:p>
    <w:p w14:paraId="5B671E8C">
      <w:pPr>
        <w:spacing w:line="560" w:lineRule="exact"/>
        <w:ind w:firstLine="540" w:firstLineChars="200"/>
        <w:jc w:val="both"/>
        <w:rPr>
          <w:rFonts w:ascii="Times New Roman" w:hAnsi="Times New Roman" w:eastAsia="仿宋" w:cs="Times New Roman"/>
          <w:color w:val="auto"/>
          <w:spacing w:val="-5"/>
          <w:sz w:val="28"/>
          <w:szCs w:val="28"/>
          <w:lang w:eastAsia="zh-CN"/>
        </w:rPr>
      </w:pPr>
      <w:bookmarkStart w:id="103" w:name="OLE_LINK394"/>
      <w:bookmarkStart w:id="104" w:name="OLE_LINK395"/>
      <w:bookmarkStart w:id="105" w:name="OLE_LINK396"/>
      <w:r>
        <w:rPr>
          <w:rFonts w:ascii="Times New Roman" w:hAnsi="Times New Roman" w:eastAsia="仿宋" w:cs="Times New Roman"/>
          <w:color w:val="auto"/>
          <w:spacing w:val="-5"/>
          <w:sz w:val="28"/>
          <w:szCs w:val="28"/>
          <w:lang w:eastAsia="zh-CN"/>
        </w:rPr>
        <w:t>依据2024年生态环境部发布的《生态文明建设示范区（县）建设指标》设置25项建设指标，其中约束性指标19项，参考性指标6项，同时结合翁牛特旗经济社会发展与生态环境建设实际，设置了1项特色指标--可治理沙化土地治理率。</w:t>
      </w:r>
    </w:p>
    <w:p w14:paraId="61ADCFF4">
      <w:pPr>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经评估，对标国家生态文明建设示范区建设指标值，19项约束性指标中3项指标不达标，分别为：区域生态保护监管（生态质量指数（EQI））、生态系统保护（森林覆盖率*、草原综合植被盖度*）和城镇新建绿色建筑比例，16项约束性指标和6项参考性指标均达标。</w:t>
      </w:r>
      <w:bookmarkEnd w:id="103"/>
      <w:bookmarkEnd w:id="104"/>
      <w:bookmarkEnd w:id="105"/>
    </w:p>
    <w:p w14:paraId="4AB3EBBC">
      <w:pPr>
        <w:spacing w:line="560" w:lineRule="exact"/>
        <w:ind w:firstLine="540" w:firstLineChars="200"/>
        <w:jc w:val="both"/>
        <w:rPr>
          <w:rFonts w:ascii="Times New Roman" w:hAnsi="Times New Roman" w:eastAsia="仿宋" w:cs="Times New Roman"/>
          <w:color w:val="auto"/>
          <w:spacing w:val="-5"/>
          <w:sz w:val="28"/>
          <w:szCs w:val="28"/>
          <w:highlight w:val="green"/>
          <w:lang w:eastAsia="zh-CN"/>
        </w:rPr>
        <w:sectPr>
          <w:headerReference r:id="rId7" w:type="default"/>
          <w:type w:val="nextColumn"/>
          <w:pgSz w:w="11907" w:h="16839"/>
          <w:pgMar w:top="1440" w:right="1797" w:bottom="1440" w:left="1797" w:header="868" w:footer="1209" w:gutter="0"/>
          <w:cols w:space="720" w:num="1"/>
          <w:docGrid w:linePitch="286" w:charSpace="0"/>
        </w:sectPr>
      </w:pPr>
      <w:bookmarkStart w:id="106" w:name="OLE_LINK169"/>
      <w:bookmarkStart w:id="107" w:name="OLE_LINK165"/>
      <w:r>
        <w:rPr>
          <w:rFonts w:ascii="Times New Roman" w:hAnsi="Times New Roman" w:eastAsia="仿宋" w:cs="Times New Roman"/>
          <w:color w:val="auto"/>
          <w:spacing w:val="-5"/>
          <w:sz w:val="28"/>
          <w:szCs w:val="28"/>
          <w:lang w:eastAsia="zh-CN"/>
        </w:rPr>
        <w:t>生态文明建设指标体系见表1。</w:t>
      </w:r>
    </w:p>
    <w:bookmarkEnd w:id="106"/>
    <w:bookmarkEnd w:id="107"/>
    <w:p w14:paraId="7367667B">
      <w:pPr>
        <w:spacing w:before="120" w:beforeLines="50" w:after="120" w:afterLines="50" w:line="560" w:lineRule="exact"/>
        <w:jc w:val="center"/>
        <w:rPr>
          <w:rFonts w:ascii="Times New Roman" w:hAnsi="Times New Roman" w:eastAsia="仿宋" w:cs="Times New Roman"/>
          <w:b/>
          <w:color w:val="auto"/>
          <w:spacing w:val="-2"/>
          <w:sz w:val="24"/>
          <w:szCs w:val="24"/>
          <w:lang w:eastAsia="zh-CN"/>
        </w:rPr>
      </w:pPr>
      <w:r>
        <w:rPr>
          <w:rFonts w:ascii="Times New Roman" w:hAnsi="Times New Roman" w:eastAsia="仿宋" w:cs="Times New Roman"/>
          <w:b/>
          <w:color w:val="auto"/>
          <w:spacing w:val="-2"/>
          <w:sz w:val="24"/>
          <w:szCs w:val="24"/>
          <w:lang w:eastAsia="zh-CN"/>
        </w:rPr>
        <w:t>表</w:t>
      </w:r>
      <w:r>
        <w:rPr>
          <w:rFonts w:ascii="Times New Roman" w:hAnsi="Times New Roman" w:eastAsia="仿宋" w:cs="Times New Roman"/>
          <w:b/>
          <w:color w:val="auto"/>
          <w:spacing w:val="-31"/>
          <w:sz w:val="24"/>
          <w:szCs w:val="24"/>
          <w:lang w:eastAsia="zh-CN"/>
        </w:rPr>
        <w:t xml:space="preserve"> </w:t>
      </w:r>
      <w:r>
        <w:rPr>
          <w:rFonts w:ascii="Times New Roman" w:hAnsi="Times New Roman" w:eastAsia="仿宋" w:cs="Times New Roman"/>
          <w:b/>
          <w:color w:val="auto"/>
          <w:spacing w:val="-2"/>
          <w:sz w:val="24"/>
          <w:szCs w:val="24"/>
          <w:lang w:eastAsia="zh-CN"/>
        </w:rPr>
        <w:t xml:space="preserve">1  </w:t>
      </w:r>
      <w:r>
        <w:rPr>
          <w:rFonts w:ascii="Times New Roman" w:hAnsi="Times New Roman" w:eastAsia="仿宋" w:cs="Times New Roman"/>
          <w:b/>
          <w:color w:val="auto"/>
          <w:spacing w:val="-2"/>
          <w:sz w:val="24"/>
          <w:szCs w:val="24"/>
          <w:lang w:eastAsia="zh"/>
        </w:rPr>
        <w:t>翁牛特旗</w:t>
      </w:r>
      <w:r>
        <w:rPr>
          <w:rFonts w:ascii="Times New Roman" w:hAnsi="Times New Roman" w:eastAsia="仿宋" w:cs="Times New Roman"/>
          <w:b/>
          <w:color w:val="auto"/>
          <w:spacing w:val="-2"/>
          <w:sz w:val="24"/>
          <w:szCs w:val="24"/>
          <w:lang w:eastAsia="zh-CN"/>
        </w:rPr>
        <w:t>国家生态文明建设示范区建设指标</w:t>
      </w:r>
    </w:p>
    <w:tbl>
      <w:tblPr>
        <w:tblStyle w:val="22"/>
        <w:tblW w:w="14307" w:type="dxa"/>
        <w:jc w:val="center"/>
        <w:tblLayout w:type="autofit"/>
        <w:tblCellMar>
          <w:top w:w="36" w:type="dxa"/>
          <w:left w:w="5" w:type="dxa"/>
          <w:bottom w:w="38" w:type="dxa"/>
          <w:right w:w="0" w:type="dxa"/>
        </w:tblCellMar>
      </w:tblPr>
      <w:tblGrid>
        <w:gridCol w:w="699"/>
        <w:gridCol w:w="857"/>
        <w:gridCol w:w="712"/>
        <w:gridCol w:w="1864"/>
        <w:gridCol w:w="709"/>
        <w:gridCol w:w="1276"/>
        <w:gridCol w:w="1134"/>
        <w:gridCol w:w="2835"/>
        <w:gridCol w:w="1386"/>
        <w:gridCol w:w="1276"/>
        <w:gridCol w:w="1559"/>
      </w:tblGrid>
      <w:tr w14:paraId="57FD9821">
        <w:tblPrEx>
          <w:tblCellMar>
            <w:top w:w="36" w:type="dxa"/>
            <w:left w:w="5" w:type="dxa"/>
            <w:bottom w:w="38" w:type="dxa"/>
            <w:right w:w="0" w:type="dxa"/>
          </w:tblCellMar>
        </w:tblPrEx>
        <w:trPr>
          <w:trHeight w:val="423" w:hRule="atLeast"/>
          <w:tblHeader/>
          <w:jc w:val="center"/>
        </w:trPr>
        <w:tc>
          <w:tcPr>
            <w:tcW w:w="699" w:type="dxa"/>
            <w:tcBorders>
              <w:top w:val="single" w:color="000000" w:sz="8" w:space="0"/>
              <w:left w:val="single" w:color="000000" w:sz="8" w:space="0"/>
              <w:bottom w:val="single" w:color="000000" w:sz="4" w:space="0"/>
              <w:right w:val="single" w:color="000000" w:sz="4" w:space="0"/>
            </w:tcBorders>
            <w:shd w:val="clear" w:color="auto" w:fill="D9D9D9"/>
            <w:vAlign w:val="center"/>
          </w:tcPr>
          <w:p w14:paraId="79B8D8C8">
            <w:pPr>
              <w:jc w:val="center"/>
              <w:rPr>
                <w:rFonts w:ascii="Times New Roman" w:hAnsi="Times New Roman" w:eastAsia="仿宋" w:cs="Times New Roman"/>
                <w:b/>
                <w:kern w:val="2"/>
              </w:rPr>
            </w:pPr>
            <w:bookmarkStart w:id="108" w:name="_Hlk177027265"/>
            <w:bookmarkStart w:id="109" w:name="OLE_LINK397"/>
            <w:r>
              <w:rPr>
                <w:rFonts w:ascii="Times New Roman" w:hAnsi="Times New Roman" w:eastAsia="仿宋" w:cs="Times New Roman"/>
                <w:b/>
                <w:kern w:val="2"/>
              </w:rPr>
              <w:t>领域</w:t>
            </w:r>
          </w:p>
        </w:tc>
        <w:tc>
          <w:tcPr>
            <w:tcW w:w="857"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436165FE">
            <w:pPr>
              <w:jc w:val="center"/>
              <w:rPr>
                <w:rFonts w:ascii="Times New Roman" w:hAnsi="Times New Roman" w:eastAsia="仿宋" w:cs="Times New Roman"/>
                <w:b/>
                <w:kern w:val="2"/>
              </w:rPr>
            </w:pPr>
            <w:r>
              <w:rPr>
                <w:rFonts w:ascii="Times New Roman" w:hAnsi="Times New Roman" w:eastAsia="仿宋" w:cs="Times New Roman"/>
                <w:b/>
                <w:kern w:val="2"/>
              </w:rPr>
              <w:t>任务</w:t>
            </w:r>
          </w:p>
        </w:tc>
        <w:tc>
          <w:tcPr>
            <w:tcW w:w="712"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0A92AC80">
            <w:pPr>
              <w:jc w:val="center"/>
              <w:rPr>
                <w:rFonts w:ascii="Times New Roman" w:hAnsi="Times New Roman" w:eastAsia="仿宋" w:cs="Times New Roman"/>
                <w:b/>
                <w:kern w:val="2"/>
              </w:rPr>
            </w:pPr>
            <w:r>
              <w:rPr>
                <w:rFonts w:ascii="Times New Roman" w:hAnsi="Times New Roman" w:eastAsia="仿宋" w:cs="Times New Roman"/>
                <w:b/>
                <w:kern w:val="2"/>
              </w:rPr>
              <w:t>序号</w:t>
            </w:r>
          </w:p>
        </w:tc>
        <w:tc>
          <w:tcPr>
            <w:tcW w:w="1864"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37F05B34">
            <w:pPr>
              <w:jc w:val="center"/>
              <w:rPr>
                <w:rFonts w:ascii="Times New Roman" w:hAnsi="Times New Roman" w:eastAsia="仿宋" w:cs="Times New Roman"/>
                <w:b/>
                <w:kern w:val="2"/>
              </w:rPr>
            </w:pPr>
            <w:r>
              <w:rPr>
                <w:rFonts w:ascii="Times New Roman" w:hAnsi="Times New Roman" w:eastAsia="仿宋" w:cs="Times New Roman"/>
                <w:b/>
                <w:kern w:val="2"/>
              </w:rPr>
              <w:t>指标名称</w:t>
            </w:r>
          </w:p>
        </w:tc>
        <w:tc>
          <w:tcPr>
            <w:tcW w:w="709"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1AE7B648">
            <w:pPr>
              <w:jc w:val="center"/>
              <w:rPr>
                <w:rFonts w:ascii="Times New Roman" w:hAnsi="Times New Roman" w:eastAsia="仿宋" w:cs="Times New Roman"/>
                <w:b/>
                <w:kern w:val="2"/>
              </w:rPr>
            </w:pPr>
            <w:r>
              <w:rPr>
                <w:rFonts w:ascii="Times New Roman" w:hAnsi="Times New Roman" w:eastAsia="仿宋" w:cs="Times New Roman"/>
                <w:b/>
                <w:kern w:val="2"/>
              </w:rPr>
              <w:t>单位</w:t>
            </w:r>
          </w:p>
        </w:tc>
        <w:tc>
          <w:tcPr>
            <w:tcW w:w="1276"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46489A35">
            <w:pPr>
              <w:jc w:val="center"/>
              <w:rPr>
                <w:rFonts w:ascii="Times New Roman" w:hAnsi="Times New Roman" w:eastAsia="仿宋" w:cs="Times New Roman"/>
                <w:b/>
                <w:kern w:val="2"/>
              </w:rPr>
            </w:pPr>
            <w:r>
              <w:rPr>
                <w:rFonts w:ascii="Times New Roman" w:hAnsi="Times New Roman" w:eastAsia="仿宋" w:cs="Times New Roman"/>
                <w:b/>
                <w:kern w:val="2"/>
              </w:rPr>
              <w:t>指标值</w:t>
            </w:r>
          </w:p>
        </w:tc>
        <w:tc>
          <w:tcPr>
            <w:tcW w:w="1134"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6A50C9FA">
            <w:pPr>
              <w:jc w:val="center"/>
              <w:rPr>
                <w:rFonts w:ascii="Times New Roman" w:hAnsi="Times New Roman" w:eastAsia="仿宋" w:cs="Times New Roman"/>
                <w:b/>
                <w:kern w:val="2"/>
              </w:rPr>
            </w:pPr>
            <w:r>
              <w:rPr>
                <w:rFonts w:ascii="Times New Roman" w:hAnsi="Times New Roman" w:eastAsia="仿宋" w:cs="Times New Roman"/>
                <w:b/>
                <w:kern w:val="2"/>
              </w:rPr>
              <w:t>指标属性</w:t>
            </w:r>
          </w:p>
        </w:tc>
        <w:tc>
          <w:tcPr>
            <w:tcW w:w="2835"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38617D26">
            <w:pPr>
              <w:jc w:val="center"/>
              <w:rPr>
                <w:rFonts w:ascii="Times New Roman" w:hAnsi="Times New Roman" w:eastAsia="仿宋" w:cs="Times New Roman"/>
                <w:b/>
                <w:kern w:val="2"/>
              </w:rPr>
            </w:pPr>
            <w:r>
              <w:rPr>
                <w:rFonts w:ascii="Times New Roman" w:hAnsi="Times New Roman" w:eastAsia="仿宋" w:cs="Times New Roman"/>
                <w:b/>
                <w:kern w:val="2"/>
              </w:rPr>
              <w:t>2023年现状值</w:t>
            </w:r>
          </w:p>
        </w:tc>
        <w:tc>
          <w:tcPr>
            <w:tcW w:w="1386"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0F0AE1EA">
            <w:pPr>
              <w:jc w:val="center"/>
              <w:rPr>
                <w:rFonts w:ascii="Times New Roman" w:hAnsi="Times New Roman" w:eastAsia="仿宋" w:cs="Times New Roman"/>
                <w:b/>
                <w:kern w:val="2"/>
              </w:rPr>
            </w:pPr>
            <w:r>
              <w:rPr>
                <w:rFonts w:ascii="Times New Roman" w:hAnsi="Times New Roman" w:eastAsia="仿宋" w:cs="Times New Roman"/>
                <w:b/>
                <w:kern w:val="2"/>
              </w:rPr>
              <w:t>达标判定</w:t>
            </w:r>
          </w:p>
        </w:tc>
        <w:tc>
          <w:tcPr>
            <w:tcW w:w="1276"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2F898FF2">
            <w:pPr>
              <w:jc w:val="center"/>
              <w:rPr>
                <w:rFonts w:ascii="Times New Roman" w:hAnsi="Times New Roman" w:eastAsia="仿宋" w:cs="Times New Roman"/>
                <w:b/>
                <w:kern w:val="2"/>
              </w:rPr>
            </w:pPr>
            <w:r>
              <w:rPr>
                <w:rFonts w:ascii="Times New Roman" w:hAnsi="Times New Roman" w:eastAsia="仿宋" w:cs="Times New Roman"/>
                <w:b/>
                <w:kern w:val="2"/>
              </w:rPr>
              <w:t>2025年目标值</w:t>
            </w:r>
          </w:p>
        </w:tc>
        <w:tc>
          <w:tcPr>
            <w:tcW w:w="1559" w:type="dxa"/>
            <w:tcBorders>
              <w:top w:val="single" w:color="000000" w:sz="8" w:space="0"/>
              <w:left w:val="single" w:color="000000" w:sz="4" w:space="0"/>
              <w:bottom w:val="single" w:color="000000" w:sz="4" w:space="0"/>
              <w:right w:val="single" w:color="000000" w:sz="4" w:space="0"/>
            </w:tcBorders>
            <w:shd w:val="clear" w:color="auto" w:fill="D9D9D9"/>
            <w:vAlign w:val="center"/>
          </w:tcPr>
          <w:p w14:paraId="4B640AC2">
            <w:pPr>
              <w:jc w:val="center"/>
              <w:rPr>
                <w:rFonts w:ascii="Times New Roman" w:hAnsi="Times New Roman" w:eastAsia="仿宋" w:cs="Times New Roman"/>
                <w:b/>
                <w:kern w:val="2"/>
              </w:rPr>
            </w:pPr>
            <w:r>
              <w:rPr>
                <w:rFonts w:ascii="Times New Roman" w:hAnsi="Times New Roman" w:eastAsia="仿宋" w:cs="Times New Roman"/>
                <w:b/>
                <w:kern w:val="2"/>
              </w:rPr>
              <w:t>2030年目标值</w:t>
            </w:r>
          </w:p>
        </w:tc>
      </w:tr>
      <w:tr w14:paraId="6B01CD20">
        <w:tblPrEx>
          <w:tblCellMar>
            <w:top w:w="36" w:type="dxa"/>
            <w:left w:w="5" w:type="dxa"/>
            <w:bottom w:w="38" w:type="dxa"/>
            <w:right w:w="0" w:type="dxa"/>
          </w:tblCellMar>
        </w:tblPrEx>
        <w:trPr>
          <w:trHeight w:val="219" w:hRule="atLeast"/>
          <w:jc w:val="center"/>
        </w:trPr>
        <w:tc>
          <w:tcPr>
            <w:tcW w:w="699" w:type="dxa"/>
            <w:vMerge w:val="restart"/>
            <w:tcBorders>
              <w:top w:val="single" w:color="000000" w:sz="4" w:space="0"/>
              <w:left w:val="single" w:color="000000" w:sz="8" w:space="0"/>
              <w:bottom w:val="single" w:color="000000" w:sz="4" w:space="0"/>
              <w:right w:val="single" w:color="000000" w:sz="4" w:space="0"/>
            </w:tcBorders>
            <w:vAlign w:val="center"/>
          </w:tcPr>
          <w:p w14:paraId="36C21A28">
            <w:pPr>
              <w:jc w:val="center"/>
              <w:rPr>
                <w:rFonts w:ascii="Times New Roman" w:hAnsi="Times New Roman" w:eastAsia="仿宋" w:cs="Times New Roman"/>
                <w:kern w:val="2"/>
              </w:rPr>
            </w:pPr>
            <w:r>
              <w:rPr>
                <w:rFonts w:ascii="Times New Roman" w:hAnsi="Times New Roman" w:eastAsia="仿宋" w:cs="Times New Roman"/>
                <w:kern w:val="2"/>
              </w:rPr>
              <w:t>目标</w:t>
            </w:r>
          </w:p>
          <w:p w14:paraId="4F724726">
            <w:pPr>
              <w:jc w:val="center"/>
              <w:rPr>
                <w:rFonts w:ascii="Times New Roman" w:hAnsi="Times New Roman" w:eastAsia="仿宋" w:cs="Times New Roman"/>
                <w:kern w:val="2"/>
              </w:rPr>
            </w:pPr>
            <w:r>
              <w:rPr>
                <w:rFonts w:ascii="Times New Roman" w:hAnsi="Times New Roman" w:eastAsia="仿宋" w:cs="Times New Roman"/>
                <w:kern w:val="2"/>
              </w:rPr>
              <w:t>责任</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14:paraId="6E2055BE">
            <w:pPr>
              <w:jc w:val="center"/>
              <w:rPr>
                <w:rFonts w:ascii="Times New Roman" w:hAnsi="Times New Roman" w:eastAsia="仿宋" w:cs="Times New Roman"/>
                <w:kern w:val="2"/>
              </w:rPr>
            </w:pPr>
            <w:r>
              <w:rPr>
                <w:rFonts w:ascii="Times New Roman" w:hAnsi="Times New Roman" w:eastAsia="仿宋" w:cs="Times New Roman"/>
                <w:kern w:val="2"/>
              </w:rPr>
              <w:t>（一）目标责任落实</w:t>
            </w:r>
          </w:p>
        </w:tc>
        <w:tc>
          <w:tcPr>
            <w:tcW w:w="712" w:type="dxa"/>
            <w:tcBorders>
              <w:top w:val="single" w:color="000000" w:sz="4" w:space="0"/>
              <w:left w:val="single" w:color="000000" w:sz="4" w:space="0"/>
              <w:bottom w:val="single" w:color="000000" w:sz="4" w:space="0"/>
              <w:right w:val="single" w:color="000000" w:sz="4" w:space="0"/>
            </w:tcBorders>
            <w:vAlign w:val="center"/>
          </w:tcPr>
          <w:p w14:paraId="69864B2A">
            <w:pPr>
              <w:jc w:val="center"/>
              <w:rPr>
                <w:rFonts w:ascii="Times New Roman" w:hAnsi="Times New Roman" w:eastAsia="仿宋" w:cs="Times New Roman"/>
                <w:kern w:val="2"/>
              </w:rPr>
            </w:pPr>
            <w:r>
              <w:rPr>
                <w:rFonts w:ascii="Times New Roman" w:hAnsi="Times New Roman" w:eastAsia="仿宋" w:cs="Times New Roman"/>
                <w:kern w:val="2"/>
              </w:rPr>
              <w:t>1</w:t>
            </w:r>
          </w:p>
        </w:tc>
        <w:tc>
          <w:tcPr>
            <w:tcW w:w="1864" w:type="dxa"/>
            <w:tcBorders>
              <w:top w:val="single" w:color="000000" w:sz="4" w:space="0"/>
              <w:left w:val="single" w:color="000000" w:sz="4" w:space="0"/>
              <w:bottom w:val="single" w:color="000000" w:sz="4" w:space="0"/>
              <w:right w:val="single" w:color="000000" w:sz="4" w:space="0"/>
            </w:tcBorders>
            <w:vAlign w:val="center"/>
          </w:tcPr>
          <w:p w14:paraId="5FFE6EE3">
            <w:pPr>
              <w:jc w:val="center"/>
              <w:rPr>
                <w:rFonts w:ascii="Times New Roman" w:hAnsi="Times New Roman" w:eastAsia="仿宋" w:cs="Times New Roman"/>
                <w:lang w:eastAsia="zh-CN"/>
              </w:rPr>
            </w:pPr>
            <w:r>
              <w:rPr>
                <w:rFonts w:ascii="Times New Roman" w:hAnsi="Times New Roman" w:eastAsia="仿宋" w:cs="Times New Roman"/>
                <w:kern w:val="2"/>
                <w:lang w:eastAsia="zh-CN"/>
              </w:rPr>
              <w:t>生态文明建设工作占党政实绩考核的比例</w:t>
            </w:r>
          </w:p>
        </w:tc>
        <w:tc>
          <w:tcPr>
            <w:tcW w:w="709" w:type="dxa"/>
            <w:tcBorders>
              <w:top w:val="single" w:color="000000" w:sz="4" w:space="0"/>
              <w:left w:val="single" w:color="000000" w:sz="4" w:space="0"/>
              <w:bottom w:val="single" w:color="000000" w:sz="4" w:space="0"/>
              <w:right w:val="single" w:color="000000" w:sz="4" w:space="0"/>
            </w:tcBorders>
            <w:vAlign w:val="center"/>
          </w:tcPr>
          <w:p w14:paraId="3EF0D222">
            <w:pPr>
              <w:jc w:val="center"/>
              <w:rPr>
                <w:rFonts w:ascii="Times New Roman" w:hAnsi="Times New Roman" w:eastAsia="仿宋" w:cs="Times New Roman"/>
                <w:kern w:val="2"/>
              </w:rPr>
            </w:pPr>
            <w:r>
              <w:rPr>
                <w:rFonts w:ascii="Times New Roman" w:hAnsi="Times New Roman" w:eastAsia="仿宋" w:cs="Times New Roman"/>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7BA29C2">
            <w:pPr>
              <w:jc w:val="center"/>
              <w:rPr>
                <w:rFonts w:ascii="Times New Roman" w:hAnsi="Times New Roman" w:eastAsia="仿宋" w:cs="Times New Roman"/>
                <w:kern w:val="2"/>
              </w:rPr>
            </w:pPr>
            <w:r>
              <w:rPr>
                <w:rFonts w:ascii="Times New Roman" w:hAnsi="Times New Roman" w:eastAsia="仿宋" w:cs="Times New Roman"/>
                <w:kern w:val="2"/>
              </w:rP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7BE0D549">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7B633B3D">
            <w:pPr>
              <w:jc w:val="center"/>
              <w:rPr>
                <w:rFonts w:ascii="Times New Roman" w:hAnsi="Times New Roman" w:eastAsia="仿宋" w:cs="Times New Roman"/>
                <w:kern w:val="2"/>
              </w:rPr>
            </w:pPr>
            <w:r>
              <w:rPr>
                <w:rFonts w:ascii="Times New Roman" w:hAnsi="Times New Roman" w:eastAsia="仿宋" w:cs="Times New Roman"/>
                <w:kern w:val="2"/>
              </w:rPr>
              <w:t>20</w:t>
            </w:r>
          </w:p>
        </w:tc>
        <w:tc>
          <w:tcPr>
            <w:tcW w:w="1386" w:type="dxa"/>
            <w:tcBorders>
              <w:top w:val="single" w:color="000000" w:sz="4" w:space="0"/>
              <w:left w:val="single" w:color="000000" w:sz="4" w:space="0"/>
              <w:bottom w:val="single" w:color="000000" w:sz="4" w:space="0"/>
              <w:right w:val="single" w:color="000000" w:sz="4" w:space="0"/>
            </w:tcBorders>
            <w:vAlign w:val="center"/>
          </w:tcPr>
          <w:p w14:paraId="28E49EC1">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65AB14DF">
            <w:pPr>
              <w:jc w:val="center"/>
              <w:rPr>
                <w:rFonts w:ascii="Times New Roman" w:hAnsi="Times New Roman" w:eastAsia="仿宋" w:cs="Times New Roman"/>
                <w:kern w:val="2"/>
              </w:rPr>
            </w:pPr>
            <w:r>
              <w:rPr>
                <w:rFonts w:ascii="Times New Roman" w:hAnsi="Times New Roman" w:eastAsia="仿宋" w:cs="Times New Roman"/>
                <w:kern w:val="2"/>
              </w:rPr>
              <w:t>≥20</w:t>
            </w:r>
          </w:p>
        </w:tc>
        <w:tc>
          <w:tcPr>
            <w:tcW w:w="1559" w:type="dxa"/>
            <w:tcBorders>
              <w:top w:val="single" w:color="000000" w:sz="4" w:space="0"/>
              <w:left w:val="single" w:color="000000" w:sz="4" w:space="0"/>
              <w:bottom w:val="single" w:color="000000" w:sz="4" w:space="0"/>
              <w:right w:val="single" w:color="000000" w:sz="4" w:space="0"/>
            </w:tcBorders>
            <w:vAlign w:val="center"/>
          </w:tcPr>
          <w:p w14:paraId="6F4CA924">
            <w:pPr>
              <w:jc w:val="center"/>
              <w:rPr>
                <w:rFonts w:ascii="Times New Roman" w:hAnsi="Times New Roman" w:eastAsia="仿宋" w:cs="Times New Roman"/>
                <w:kern w:val="2"/>
              </w:rPr>
            </w:pPr>
            <w:r>
              <w:rPr>
                <w:rFonts w:ascii="Times New Roman" w:hAnsi="Times New Roman" w:eastAsia="仿宋" w:cs="Times New Roman"/>
                <w:kern w:val="2"/>
              </w:rPr>
              <w:t>≥20</w:t>
            </w:r>
          </w:p>
        </w:tc>
      </w:tr>
      <w:tr w14:paraId="3FD1EADF">
        <w:tblPrEx>
          <w:tblCellMar>
            <w:top w:w="36" w:type="dxa"/>
            <w:left w:w="5" w:type="dxa"/>
            <w:bottom w:w="38" w:type="dxa"/>
            <w:right w:w="0" w:type="dxa"/>
          </w:tblCellMar>
        </w:tblPrEx>
        <w:trPr>
          <w:trHeight w:val="1133" w:hRule="atLeast"/>
          <w:jc w:val="center"/>
        </w:trPr>
        <w:tc>
          <w:tcPr>
            <w:tcW w:w="699" w:type="dxa"/>
            <w:vMerge w:val="continue"/>
            <w:tcBorders>
              <w:top w:val="nil"/>
              <w:left w:val="single" w:color="000000" w:sz="8" w:space="0"/>
              <w:bottom w:val="nil"/>
              <w:right w:val="single" w:color="000000" w:sz="4" w:space="0"/>
            </w:tcBorders>
            <w:vAlign w:val="center"/>
          </w:tcPr>
          <w:p w14:paraId="3F2738FD">
            <w:pPr>
              <w:rPr>
                <w:rFonts w:ascii="Times New Roman" w:hAnsi="Times New Roman" w:eastAsia="仿宋" w:cs="Times New Roman"/>
                <w:kern w:val="2"/>
              </w:rPr>
            </w:pPr>
          </w:p>
        </w:tc>
        <w:tc>
          <w:tcPr>
            <w:tcW w:w="857" w:type="dxa"/>
            <w:vMerge w:val="continue"/>
            <w:tcBorders>
              <w:top w:val="nil"/>
              <w:left w:val="single" w:color="000000" w:sz="4" w:space="0"/>
              <w:bottom w:val="nil"/>
              <w:right w:val="single" w:color="000000" w:sz="4" w:space="0"/>
            </w:tcBorders>
            <w:vAlign w:val="center"/>
          </w:tcPr>
          <w:p w14:paraId="5EC21F32">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833A079">
            <w:pPr>
              <w:jc w:val="center"/>
              <w:rPr>
                <w:rFonts w:ascii="Times New Roman" w:hAnsi="Times New Roman" w:eastAsia="仿宋" w:cs="Times New Roman"/>
                <w:kern w:val="2"/>
              </w:rPr>
            </w:pPr>
            <w:r>
              <w:rPr>
                <w:rFonts w:ascii="Times New Roman" w:hAnsi="Times New Roman" w:eastAsia="仿宋" w:cs="Times New Roman"/>
                <w:kern w:val="2"/>
              </w:rPr>
              <w:t>2</w:t>
            </w:r>
          </w:p>
        </w:tc>
        <w:tc>
          <w:tcPr>
            <w:tcW w:w="1864" w:type="dxa"/>
            <w:tcBorders>
              <w:top w:val="single" w:color="000000" w:sz="4" w:space="0"/>
              <w:left w:val="single" w:color="000000" w:sz="4" w:space="0"/>
              <w:bottom w:val="single" w:color="000000" w:sz="4" w:space="0"/>
              <w:right w:val="single" w:color="000000" w:sz="4" w:space="0"/>
            </w:tcBorders>
            <w:vAlign w:val="center"/>
          </w:tcPr>
          <w:p w14:paraId="4FA01D98">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党政领导干部生态环境损害责任追究制度</w:t>
            </w:r>
          </w:p>
        </w:tc>
        <w:tc>
          <w:tcPr>
            <w:tcW w:w="709" w:type="dxa"/>
            <w:tcBorders>
              <w:top w:val="single" w:color="000000" w:sz="4" w:space="0"/>
              <w:left w:val="single" w:color="000000" w:sz="4" w:space="0"/>
              <w:bottom w:val="single" w:color="000000" w:sz="4" w:space="0"/>
              <w:right w:val="single" w:color="000000" w:sz="4" w:space="0"/>
            </w:tcBorders>
            <w:vAlign w:val="center"/>
          </w:tcPr>
          <w:p w14:paraId="4C9C2FAD">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1EDDE96D">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134" w:type="dxa"/>
            <w:tcBorders>
              <w:top w:val="single" w:color="000000" w:sz="4" w:space="0"/>
              <w:left w:val="single" w:color="000000" w:sz="4" w:space="0"/>
              <w:bottom w:val="single" w:color="000000" w:sz="4" w:space="0"/>
              <w:right w:val="single" w:color="000000" w:sz="4" w:space="0"/>
            </w:tcBorders>
            <w:vAlign w:val="center"/>
          </w:tcPr>
          <w:p w14:paraId="4250AB73">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2BCE451A">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386" w:type="dxa"/>
            <w:tcBorders>
              <w:top w:val="single" w:color="000000" w:sz="4" w:space="0"/>
              <w:left w:val="single" w:color="000000" w:sz="4" w:space="0"/>
              <w:bottom w:val="single" w:color="000000" w:sz="4" w:space="0"/>
              <w:right w:val="single" w:color="000000" w:sz="4" w:space="0"/>
            </w:tcBorders>
            <w:vAlign w:val="center"/>
          </w:tcPr>
          <w:p w14:paraId="233DC69F">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13F982E1">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559" w:type="dxa"/>
            <w:tcBorders>
              <w:top w:val="single" w:color="000000" w:sz="4" w:space="0"/>
              <w:left w:val="single" w:color="000000" w:sz="4" w:space="0"/>
              <w:bottom w:val="single" w:color="000000" w:sz="4" w:space="0"/>
              <w:right w:val="single" w:color="000000" w:sz="4" w:space="0"/>
            </w:tcBorders>
            <w:vAlign w:val="center"/>
          </w:tcPr>
          <w:p w14:paraId="661E9F4B">
            <w:pPr>
              <w:jc w:val="center"/>
              <w:rPr>
                <w:rFonts w:ascii="Times New Roman" w:hAnsi="Times New Roman" w:eastAsia="仿宋" w:cs="Times New Roman"/>
                <w:kern w:val="2"/>
              </w:rPr>
            </w:pPr>
            <w:r>
              <w:rPr>
                <w:rFonts w:ascii="Times New Roman" w:hAnsi="Times New Roman" w:eastAsia="仿宋" w:cs="Times New Roman"/>
                <w:kern w:val="2"/>
              </w:rPr>
              <w:t>建立</w:t>
            </w:r>
          </w:p>
        </w:tc>
      </w:tr>
      <w:tr w14:paraId="5E652021">
        <w:tblPrEx>
          <w:tblCellMar>
            <w:top w:w="36" w:type="dxa"/>
            <w:left w:w="5" w:type="dxa"/>
            <w:bottom w:w="38" w:type="dxa"/>
            <w:right w:w="0" w:type="dxa"/>
          </w:tblCellMar>
        </w:tblPrEx>
        <w:trPr>
          <w:trHeight w:val="805" w:hRule="atLeast"/>
          <w:jc w:val="center"/>
        </w:trPr>
        <w:tc>
          <w:tcPr>
            <w:tcW w:w="699" w:type="dxa"/>
            <w:vMerge w:val="continue"/>
            <w:tcBorders>
              <w:top w:val="nil"/>
              <w:left w:val="single" w:color="000000" w:sz="8" w:space="0"/>
              <w:bottom w:val="nil"/>
              <w:right w:val="single" w:color="000000" w:sz="4" w:space="0"/>
            </w:tcBorders>
            <w:vAlign w:val="center"/>
          </w:tcPr>
          <w:p w14:paraId="732C32B1">
            <w:pPr>
              <w:rPr>
                <w:rFonts w:ascii="Times New Roman" w:hAnsi="Times New Roman" w:eastAsia="仿宋" w:cs="Times New Roman"/>
                <w:kern w:val="2"/>
              </w:rPr>
            </w:pPr>
          </w:p>
        </w:tc>
        <w:tc>
          <w:tcPr>
            <w:tcW w:w="857" w:type="dxa"/>
            <w:vMerge w:val="continue"/>
            <w:tcBorders>
              <w:top w:val="nil"/>
              <w:left w:val="single" w:color="000000" w:sz="4" w:space="0"/>
              <w:bottom w:val="nil"/>
              <w:right w:val="single" w:color="000000" w:sz="4" w:space="0"/>
            </w:tcBorders>
            <w:vAlign w:val="center"/>
          </w:tcPr>
          <w:p w14:paraId="01A1ADA9">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28FDB87">
            <w:pPr>
              <w:jc w:val="center"/>
              <w:rPr>
                <w:rFonts w:ascii="Times New Roman" w:hAnsi="Times New Roman" w:eastAsia="仿宋" w:cs="Times New Roman"/>
                <w:kern w:val="2"/>
              </w:rPr>
            </w:pPr>
            <w:r>
              <w:rPr>
                <w:rFonts w:ascii="Times New Roman" w:hAnsi="Times New Roman" w:eastAsia="仿宋" w:cs="Times New Roman"/>
                <w:kern w:val="2"/>
              </w:rPr>
              <w:t>3</w:t>
            </w:r>
          </w:p>
        </w:tc>
        <w:tc>
          <w:tcPr>
            <w:tcW w:w="1864" w:type="dxa"/>
            <w:tcBorders>
              <w:top w:val="single" w:color="000000" w:sz="4" w:space="0"/>
              <w:left w:val="single" w:color="000000" w:sz="4" w:space="0"/>
              <w:bottom w:val="single" w:color="000000" w:sz="4" w:space="0"/>
              <w:right w:val="single" w:color="000000" w:sz="4" w:space="0"/>
            </w:tcBorders>
            <w:vAlign w:val="center"/>
          </w:tcPr>
          <w:p w14:paraId="53E5872F">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领导干部自然资源资产离任审计</w:t>
            </w:r>
          </w:p>
        </w:tc>
        <w:tc>
          <w:tcPr>
            <w:tcW w:w="709" w:type="dxa"/>
            <w:tcBorders>
              <w:top w:val="single" w:color="000000" w:sz="4" w:space="0"/>
              <w:left w:val="single" w:color="000000" w:sz="4" w:space="0"/>
              <w:bottom w:val="single" w:color="000000" w:sz="4" w:space="0"/>
              <w:right w:val="single" w:color="000000" w:sz="4" w:space="0"/>
            </w:tcBorders>
            <w:vAlign w:val="center"/>
          </w:tcPr>
          <w:p w14:paraId="278003CF">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751EE361">
            <w:pPr>
              <w:jc w:val="center"/>
              <w:rPr>
                <w:rFonts w:ascii="Times New Roman" w:hAnsi="Times New Roman" w:eastAsia="仿宋" w:cs="Times New Roman"/>
                <w:kern w:val="2"/>
              </w:rPr>
            </w:pPr>
            <w:r>
              <w:rPr>
                <w:rFonts w:ascii="Times New Roman" w:hAnsi="Times New Roman" w:eastAsia="仿宋" w:cs="Times New Roman"/>
                <w:kern w:val="2"/>
              </w:rPr>
              <w:t>开展</w:t>
            </w:r>
          </w:p>
        </w:tc>
        <w:tc>
          <w:tcPr>
            <w:tcW w:w="1134" w:type="dxa"/>
            <w:tcBorders>
              <w:top w:val="single" w:color="000000" w:sz="4" w:space="0"/>
              <w:left w:val="single" w:color="000000" w:sz="4" w:space="0"/>
              <w:bottom w:val="single" w:color="000000" w:sz="4" w:space="0"/>
              <w:right w:val="single" w:color="000000" w:sz="4" w:space="0"/>
            </w:tcBorders>
            <w:vAlign w:val="center"/>
          </w:tcPr>
          <w:p w14:paraId="3D05EF82">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27C21E07">
            <w:pPr>
              <w:jc w:val="center"/>
              <w:rPr>
                <w:rFonts w:ascii="Times New Roman" w:hAnsi="Times New Roman" w:eastAsia="仿宋" w:cs="Times New Roman"/>
                <w:kern w:val="2"/>
              </w:rPr>
            </w:pPr>
            <w:r>
              <w:rPr>
                <w:rFonts w:ascii="Times New Roman" w:hAnsi="Times New Roman" w:eastAsia="仿宋" w:cs="Times New Roman"/>
                <w:kern w:val="2"/>
              </w:rPr>
              <w:t>开展</w:t>
            </w:r>
          </w:p>
        </w:tc>
        <w:tc>
          <w:tcPr>
            <w:tcW w:w="1386" w:type="dxa"/>
            <w:tcBorders>
              <w:top w:val="single" w:color="000000" w:sz="4" w:space="0"/>
              <w:left w:val="single" w:color="000000" w:sz="4" w:space="0"/>
              <w:bottom w:val="single" w:color="000000" w:sz="4" w:space="0"/>
              <w:right w:val="single" w:color="000000" w:sz="4" w:space="0"/>
            </w:tcBorders>
            <w:vAlign w:val="center"/>
          </w:tcPr>
          <w:p w14:paraId="5D06B72D">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65AE21DF">
            <w:pPr>
              <w:jc w:val="center"/>
              <w:rPr>
                <w:rFonts w:ascii="Times New Roman" w:hAnsi="Times New Roman" w:eastAsia="仿宋" w:cs="Times New Roman"/>
                <w:kern w:val="2"/>
              </w:rPr>
            </w:pPr>
            <w:r>
              <w:rPr>
                <w:rFonts w:ascii="Times New Roman" w:hAnsi="Times New Roman" w:eastAsia="仿宋" w:cs="Times New Roman"/>
                <w:kern w:val="2"/>
              </w:rPr>
              <w:t>开展</w:t>
            </w:r>
          </w:p>
        </w:tc>
        <w:tc>
          <w:tcPr>
            <w:tcW w:w="1559" w:type="dxa"/>
            <w:tcBorders>
              <w:top w:val="single" w:color="000000" w:sz="4" w:space="0"/>
              <w:left w:val="single" w:color="000000" w:sz="4" w:space="0"/>
              <w:bottom w:val="single" w:color="000000" w:sz="4" w:space="0"/>
              <w:right w:val="single" w:color="000000" w:sz="4" w:space="0"/>
            </w:tcBorders>
            <w:vAlign w:val="center"/>
          </w:tcPr>
          <w:p w14:paraId="645650C2">
            <w:pPr>
              <w:jc w:val="center"/>
              <w:rPr>
                <w:rFonts w:ascii="Times New Roman" w:hAnsi="Times New Roman" w:eastAsia="仿宋" w:cs="Times New Roman"/>
                <w:kern w:val="2"/>
              </w:rPr>
            </w:pPr>
            <w:r>
              <w:rPr>
                <w:rFonts w:ascii="Times New Roman" w:hAnsi="Times New Roman" w:eastAsia="仿宋" w:cs="Times New Roman"/>
                <w:kern w:val="2"/>
              </w:rPr>
              <w:t>开展</w:t>
            </w:r>
          </w:p>
        </w:tc>
      </w:tr>
      <w:tr w14:paraId="3C069F1F">
        <w:tblPrEx>
          <w:tblCellMar>
            <w:top w:w="36" w:type="dxa"/>
            <w:left w:w="5" w:type="dxa"/>
            <w:bottom w:w="38" w:type="dxa"/>
            <w:right w:w="0" w:type="dxa"/>
          </w:tblCellMar>
        </w:tblPrEx>
        <w:trPr>
          <w:trHeight w:val="1595" w:hRule="atLeast"/>
          <w:jc w:val="center"/>
        </w:trPr>
        <w:tc>
          <w:tcPr>
            <w:tcW w:w="699" w:type="dxa"/>
            <w:vMerge w:val="restart"/>
            <w:tcBorders>
              <w:top w:val="single" w:color="000000" w:sz="4" w:space="0"/>
              <w:left w:val="single" w:color="000000" w:sz="8" w:space="0"/>
              <w:bottom w:val="single" w:color="000000" w:sz="4" w:space="0"/>
              <w:right w:val="single" w:color="000000" w:sz="4" w:space="0"/>
            </w:tcBorders>
            <w:vAlign w:val="center"/>
          </w:tcPr>
          <w:p w14:paraId="688E8347">
            <w:pPr>
              <w:jc w:val="center"/>
              <w:rPr>
                <w:rFonts w:ascii="Times New Roman" w:hAnsi="Times New Roman" w:eastAsia="仿宋" w:cs="Times New Roman"/>
                <w:kern w:val="2"/>
              </w:rPr>
            </w:pPr>
            <w:r>
              <w:rPr>
                <w:rFonts w:ascii="Times New Roman" w:hAnsi="Times New Roman" w:eastAsia="仿宋" w:cs="Times New Roman"/>
                <w:kern w:val="2"/>
              </w:rPr>
              <w:t>生态</w:t>
            </w:r>
          </w:p>
          <w:p w14:paraId="3E4F2D35">
            <w:pPr>
              <w:jc w:val="center"/>
              <w:rPr>
                <w:rFonts w:ascii="Times New Roman" w:hAnsi="Times New Roman" w:eastAsia="仿宋" w:cs="Times New Roman"/>
                <w:kern w:val="2"/>
              </w:rPr>
            </w:pPr>
            <w:r>
              <w:rPr>
                <w:rFonts w:ascii="Times New Roman" w:hAnsi="Times New Roman" w:eastAsia="仿宋" w:cs="Times New Roman"/>
                <w:kern w:val="2"/>
              </w:rPr>
              <w:t>安全</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14:paraId="7E86321A">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（二）生态环境质量改善</w:t>
            </w:r>
          </w:p>
        </w:tc>
        <w:tc>
          <w:tcPr>
            <w:tcW w:w="712" w:type="dxa"/>
            <w:tcBorders>
              <w:top w:val="single" w:color="000000" w:sz="4" w:space="0"/>
              <w:left w:val="single" w:color="000000" w:sz="4" w:space="0"/>
              <w:bottom w:val="single" w:color="000000" w:sz="4" w:space="0"/>
              <w:right w:val="single" w:color="000000" w:sz="4" w:space="0"/>
            </w:tcBorders>
            <w:vAlign w:val="center"/>
          </w:tcPr>
          <w:p w14:paraId="7D3D0634">
            <w:pPr>
              <w:jc w:val="center"/>
              <w:rPr>
                <w:rFonts w:ascii="Times New Roman" w:hAnsi="Times New Roman" w:eastAsia="仿宋" w:cs="Times New Roman"/>
                <w:kern w:val="2"/>
              </w:rPr>
            </w:pPr>
            <w:r>
              <w:rPr>
                <w:rFonts w:ascii="Times New Roman" w:hAnsi="Times New Roman" w:eastAsia="仿宋" w:cs="Times New Roman"/>
                <w:kern w:val="2"/>
              </w:rPr>
              <w:t>4</w:t>
            </w:r>
          </w:p>
        </w:tc>
        <w:tc>
          <w:tcPr>
            <w:tcW w:w="1864" w:type="dxa"/>
            <w:tcBorders>
              <w:top w:val="single" w:color="000000" w:sz="4" w:space="0"/>
              <w:left w:val="single" w:color="000000" w:sz="4" w:space="0"/>
              <w:bottom w:val="single" w:color="000000" w:sz="4" w:space="0"/>
              <w:right w:val="single" w:color="000000" w:sz="4" w:space="0"/>
            </w:tcBorders>
            <w:vAlign w:val="center"/>
          </w:tcPr>
          <w:p w14:paraId="2923F559">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PM</w:t>
            </w:r>
            <w:r>
              <w:rPr>
                <w:rFonts w:ascii="Times New Roman" w:hAnsi="Times New Roman" w:eastAsia="仿宋" w:cs="Times New Roman"/>
                <w:kern w:val="2"/>
                <w:vertAlign w:val="subscript"/>
              </w:rPr>
              <w:t>2.5</w:t>
            </w:r>
            <w:r>
              <w:rPr>
                <w:rFonts w:ascii="Times New Roman" w:hAnsi="Times New Roman" w:eastAsia="仿宋" w:cs="Times New Roman"/>
                <w:kern w:val="2"/>
              </w:rPr>
              <w:t>浓度</w:t>
            </w:r>
          </w:p>
        </w:tc>
        <w:tc>
          <w:tcPr>
            <w:tcW w:w="709" w:type="dxa"/>
            <w:tcBorders>
              <w:top w:val="single" w:color="000000" w:sz="4" w:space="0"/>
              <w:left w:val="single" w:color="000000" w:sz="4" w:space="0"/>
              <w:bottom w:val="single" w:color="000000" w:sz="4" w:space="0"/>
              <w:right w:val="single" w:color="000000" w:sz="4" w:space="0"/>
            </w:tcBorders>
            <w:vAlign w:val="center"/>
          </w:tcPr>
          <w:p w14:paraId="638825EE">
            <w:pPr>
              <w:jc w:val="center"/>
              <w:rPr>
                <w:rFonts w:ascii="Times New Roman" w:hAnsi="Times New Roman" w:eastAsia="仿宋" w:cs="Times New Roman"/>
                <w:kern w:val="2"/>
              </w:rPr>
            </w:pPr>
            <w:r>
              <w:rPr>
                <w:rFonts w:ascii="Times New Roman" w:hAnsi="Times New Roman" w:eastAsia="仿宋" w:cs="Times New Roman"/>
                <w:kern w:val="2"/>
              </w:rPr>
              <w:t>ug/m</w:t>
            </w:r>
            <w:r>
              <w:rPr>
                <w:rFonts w:ascii="Times New Roman" w:hAnsi="Times New Roman" w:eastAsia="仿宋" w:cs="Times New Roman"/>
                <w:kern w:val="2"/>
                <w:vertAlign w:val="superscript"/>
              </w:rPr>
              <w:t>3</w:t>
            </w:r>
          </w:p>
        </w:tc>
        <w:tc>
          <w:tcPr>
            <w:tcW w:w="1276" w:type="dxa"/>
            <w:tcBorders>
              <w:top w:val="single" w:color="000000" w:sz="4" w:space="0"/>
              <w:left w:val="single" w:color="000000" w:sz="4" w:space="0"/>
              <w:bottom w:val="single" w:color="000000" w:sz="4" w:space="0"/>
              <w:right w:val="single" w:color="000000" w:sz="4" w:space="0"/>
            </w:tcBorders>
            <w:vAlign w:val="center"/>
          </w:tcPr>
          <w:p w14:paraId="79240A0D">
            <w:pP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完成上级规定的考核任务,且保持稳定或持续下降</w:t>
            </w:r>
          </w:p>
        </w:tc>
        <w:tc>
          <w:tcPr>
            <w:tcW w:w="1134" w:type="dxa"/>
            <w:tcBorders>
              <w:top w:val="single" w:color="000000" w:sz="4" w:space="0"/>
              <w:left w:val="single" w:color="000000" w:sz="4" w:space="0"/>
              <w:bottom w:val="single" w:color="000000" w:sz="4" w:space="0"/>
              <w:right w:val="single" w:color="000000" w:sz="4" w:space="0"/>
            </w:tcBorders>
            <w:vAlign w:val="center"/>
          </w:tcPr>
          <w:p w14:paraId="76A298D1">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56CD931E">
            <w:pPr>
              <w:rPr>
                <w:rFonts w:ascii="Times New Roman" w:hAnsi="Times New Roman" w:eastAsia="仿宋" w:cs="Times New Roman"/>
                <w:kern w:val="2"/>
                <w:lang w:eastAsia="zh-CN"/>
              </w:rPr>
            </w:pPr>
            <w:r>
              <w:rPr>
                <w:rFonts w:ascii="Times New Roman" w:hAnsi="Times New Roman" w:eastAsia="仿宋" w:cs="Times New Roman"/>
                <w:kern w:val="2"/>
                <w:lang w:eastAsia="zh-CN"/>
              </w:rPr>
              <w:t>2023年PM2.5浓度12</w:t>
            </w:r>
            <w:r>
              <w:rPr>
                <w:rFonts w:ascii="Times New Roman" w:hAnsi="Times New Roman" w:eastAsia="仿宋" w:cs="Times New Roman"/>
                <w:kern w:val="2"/>
              </w:rPr>
              <w:t>μ</w:t>
            </w:r>
            <w:r>
              <w:rPr>
                <w:rFonts w:ascii="Times New Roman" w:hAnsi="Times New Roman" w:eastAsia="仿宋" w:cs="Times New Roman"/>
                <w:kern w:val="2"/>
                <w:lang w:eastAsia="zh-CN"/>
              </w:rPr>
              <w:t>g/m</w:t>
            </w:r>
            <w:r>
              <w:rPr>
                <w:rFonts w:ascii="Times New Roman" w:hAnsi="Times New Roman" w:eastAsia="仿宋" w:cs="Times New Roman"/>
                <w:kern w:val="2"/>
                <w:vertAlign w:val="superscript"/>
                <w:lang w:eastAsia="zh-CN"/>
              </w:rPr>
              <w:t>3</w:t>
            </w:r>
            <w:r>
              <w:rPr>
                <w:rFonts w:ascii="Times New Roman" w:hAnsi="Times New Roman" w:eastAsia="仿宋" w:cs="Times New Roman"/>
                <w:kern w:val="2"/>
                <w:lang w:eastAsia="zh-CN"/>
              </w:rPr>
              <w:t>，完成上级规定的考核任务（20</w:t>
            </w:r>
            <w:r>
              <w:rPr>
                <w:rFonts w:ascii="Times New Roman" w:hAnsi="Times New Roman" w:eastAsia="仿宋" w:cs="Times New Roman"/>
                <w:kern w:val="2"/>
              </w:rPr>
              <w:t>μ</w:t>
            </w:r>
            <w:r>
              <w:rPr>
                <w:rFonts w:ascii="Times New Roman" w:hAnsi="Times New Roman" w:eastAsia="仿宋" w:cs="Times New Roman"/>
                <w:kern w:val="2"/>
                <w:lang w:eastAsia="zh-CN"/>
              </w:rPr>
              <w:t>g/m</w:t>
            </w:r>
            <w:r>
              <w:rPr>
                <w:rFonts w:ascii="Times New Roman" w:hAnsi="Times New Roman" w:eastAsia="仿宋" w:cs="Times New Roman"/>
                <w:kern w:val="2"/>
                <w:vertAlign w:val="superscript"/>
                <w:lang w:eastAsia="zh-CN"/>
              </w:rPr>
              <w:t>3</w:t>
            </w:r>
            <w:r>
              <w:rPr>
                <w:rFonts w:ascii="Times New Roman" w:hAnsi="Times New Roman" w:eastAsia="仿宋" w:cs="Times New Roman"/>
                <w:kern w:val="2"/>
                <w:lang w:eastAsia="zh-CN"/>
              </w:rPr>
              <w:t>）。</w:t>
            </w:r>
          </w:p>
        </w:tc>
        <w:tc>
          <w:tcPr>
            <w:tcW w:w="1386" w:type="dxa"/>
            <w:tcBorders>
              <w:top w:val="single" w:color="000000" w:sz="4" w:space="0"/>
              <w:left w:val="single" w:color="000000" w:sz="4" w:space="0"/>
              <w:bottom w:val="single" w:color="000000" w:sz="4" w:space="0"/>
              <w:right w:val="single" w:color="000000" w:sz="4" w:space="0"/>
            </w:tcBorders>
            <w:vAlign w:val="center"/>
          </w:tcPr>
          <w:p w14:paraId="2791D638">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20D3E089">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完成上级规定的考核任务，保持稳定。</w:t>
            </w:r>
          </w:p>
        </w:tc>
        <w:tc>
          <w:tcPr>
            <w:tcW w:w="1559" w:type="dxa"/>
            <w:tcBorders>
              <w:top w:val="single" w:color="000000" w:sz="4" w:space="0"/>
              <w:left w:val="single" w:color="000000" w:sz="4" w:space="0"/>
              <w:bottom w:val="single" w:color="000000" w:sz="4" w:space="0"/>
              <w:right w:val="single" w:color="000000" w:sz="4" w:space="0"/>
            </w:tcBorders>
            <w:vAlign w:val="center"/>
          </w:tcPr>
          <w:p w14:paraId="7B59B877">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完成上级规定的考核任务，保持稳定。</w:t>
            </w:r>
          </w:p>
        </w:tc>
      </w:tr>
      <w:tr w14:paraId="1C7A8C98">
        <w:tblPrEx>
          <w:tblCellMar>
            <w:top w:w="36" w:type="dxa"/>
            <w:left w:w="5" w:type="dxa"/>
            <w:bottom w:w="38" w:type="dxa"/>
            <w:right w:w="0" w:type="dxa"/>
          </w:tblCellMar>
        </w:tblPrEx>
        <w:trPr>
          <w:trHeight w:val="1967" w:hRule="atLeast"/>
          <w:jc w:val="center"/>
        </w:trPr>
        <w:tc>
          <w:tcPr>
            <w:tcW w:w="699" w:type="dxa"/>
            <w:vMerge w:val="continue"/>
            <w:tcBorders>
              <w:top w:val="single" w:color="auto" w:sz="4" w:space="0"/>
              <w:left w:val="single" w:color="000000" w:sz="8" w:space="0"/>
              <w:bottom w:val="single" w:color="auto" w:sz="4" w:space="0"/>
              <w:right w:val="single" w:color="000000" w:sz="4" w:space="0"/>
            </w:tcBorders>
            <w:vAlign w:val="center"/>
          </w:tcPr>
          <w:p w14:paraId="651345B2">
            <w:pPr>
              <w:rPr>
                <w:rFonts w:ascii="Times New Roman" w:hAnsi="Times New Roman" w:eastAsia="仿宋" w:cs="Times New Roman"/>
                <w:kern w:val="2"/>
                <w:lang w:eastAsia="zh-CN"/>
              </w:rPr>
            </w:pPr>
          </w:p>
        </w:tc>
        <w:tc>
          <w:tcPr>
            <w:tcW w:w="857" w:type="dxa"/>
            <w:vMerge w:val="continue"/>
            <w:tcBorders>
              <w:top w:val="single" w:color="auto" w:sz="4" w:space="0"/>
              <w:left w:val="single" w:color="000000" w:sz="4" w:space="0"/>
              <w:bottom w:val="single" w:color="auto" w:sz="4" w:space="0"/>
              <w:right w:val="single" w:color="000000" w:sz="4" w:space="0"/>
            </w:tcBorders>
            <w:vAlign w:val="center"/>
          </w:tcPr>
          <w:p w14:paraId="2F65AAE9">
            <w:pPr>
              <w:jc w:val="center"/>
              <w:rPr>
                <w:rFonts w:ascii="Times New Roman" w:hAnsi="Times New Roman" w:eastAsia="仿宋" w:cs="Times New Roman"/>
                <w:kern w:val="2"/>
                <w:lang w:eastAsia="zh-CN"/>
              </w:rPr>
            </w:pPr>
          </w:p>
        </w:tc>
        <w:tc>
          <w:tcPr>
            <w:tcW w:w="712" w:type="dxa"/>
            <w:tcBorders>
              <w:top w:val="single" w:color="auto" w:sz="4" w:space="0"/>
              <w:left w:val="single" w:color="000000" w:sz="4" w:space="0"/>
              <w:bottom w:val="single" w:color="auto" w:sz="4" w:space="0"/>
              <w:right w:val="single" w:color="000000" w:sz="4" w:space="0"/>
            </w:tcBorders>
            <w:vAlign w:val="center"/>
          </w:tcPr>
          <w:p w14:paraId="6A5A800A">
            <w:pPr>
              <w:jc w:val="center"/>
              <w:rPr>
                <w:rFonts w:ascii="Times New Roman" w:hAnsi="Times New Roman" w:eastAsia="仿宋" w:cs="Times New Roman"/>
                <w:kern w:val="2"/>
              </w:rPr>
            </w:pPr>
            <w:r>
              <w:rPr>
                <w:rFonts w:ascii="Times New Roman" w:hAnsi="Times New Roman" w:eastAsia="仿宋" w:cs="Times New Roman"/>
                <w:kern w:val="2"/>
              </w:rPr>
              <w:t>5</w:t>
            </w:r>
          </w:p>
        </w:tc>
        <w:tc>
          <w:tcPr>
            <w:tcW w:w="1864" w:type="dxa"/>
            <w:tcBorders>
              <w:top w:val="single" w:color="auto" w:sz="4" w:space="0"/>
              <w:left w:val="single" w:color="000000" w:sz="4" w:space="0"/>
              <w:bottom w:val="single" w:color="auto" w:sz="4" w:space="0"/>
              <w:right w:val="single" w:color="000000" w:sz="4" w:space="0"/>
            </w:tcBorders>
            <w:vAlign w:val="center"/>
          </w:tcPr>
          <w:p w14:paraId="2CEEDFD8">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水环境质量</w:t>
            </w:r>
          </w:p>
          <w:p w14:paraId="630E1DA2">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地表水达到或好于Ⅲ类水体比例</w:t>
            </w:r>
          </w:p>
          <w:p w14:paraId="2F93CA96">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县城污水处理率</w:t>
            </w:r>
          </w:p>
          <w:p w14:paraId="53CFA433">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较大面积农村黑臭水体整治率*</w:t>
            </w:r>
          </w:p>
        </w:tc>
        <w:tc>
          <w:tcPr>
            <w:tcW w:w="709" w:type="dxa"/>
            <w:tcBorders>
              <w:top w:val="single" w:color="auto" w:sz="4" w:space="0"/>
              <w:left w:val="single" w:color="000000" w:sz="4" w:space="0"/>
              <w:bottom w:val="single" w:color="auto" w:sz="4" w:space="0"/>
              <w:right w:val="single" w:color="000000" w:sz="4" w:space="0"/>
            </w:tcBorders>
            <w:vAlign w:val="center"/>
          </w:tcPr>
          <w:p w14:paraId="5FDB0BD9">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auto" w:sz="4" w:space="0"/>
              <w:left w:val="single" w:color="000000" w:sz="4" w:space="0"/>
              <w:bottom w:val="single" w:color="auto" w:sz="4" w:space="0"/>
              <w:right w:val="single" w:color="000000" w:sz="4" w:space="0"/>
            </w:tcBorders>
            <w:vAlign w:val="center"/>
          </w:tcPr>
          <w:p w14:paraId="71625D12">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w:t>
            </w:r>
          </w:p>
          <w:p w14:paraId="65996230">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≥95</w:t>
            </w:r>
          </w:p>
          <w:p w14:paraId="4858C5F2">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100</w:t>
            </w:r>
          </w:p>
        </w:tc>
        <w:tc>
          <w:tcPr>
            <w:tcW w:w="1134" w:type="dxa"/>
            <w:tcBorders>
              <w:top w:val="single" w:color="auto" w:sz="4" w:space="0"/>
              <w:left w:val="single" w:color="000000" w:sz="4" w:space="0"/>
              <w:bottom w:val="single" w:color="auto" w:sz="4" w:space="0"/>
              <w:right w:val="single" w:color="000000" w:sz="4" w:space="0"/>
            </w:tcBorders>
            <w:vAlign w:val="center"/>
          </w:tcPr>
          <w:p w14:paraId="10AEAE15">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auto" w:sz="4" w:space="0"/>
              <w:left w:val="single" w:color="000000" w:sz="4" w:space="0"/>
              <w:bottom w:val="single" w:color="auto" w:sz="4" w:space="0"/>
              <w:right w:val="single" w:color="000000" w:sz="4" w:space="0"/>
            </w:tcBorders>
            <w:vAlign w:val="center"/>
          </w:tcPr>
          <w:p w14:paraId="185914F4">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（1）2023地表水达到或好于Ⅲ类水体比例为67%，完成上级规定的考核任务（60%）。</w:t>
            </w:r>
          </w:p>
          <w:p w14:paraId="2C858665">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（2）城区范围内污水处理总量为954.53万吨；城镇生活污水排放总量992.80万吨；城镇生活污水集中处理率96%。</w:t>
            </w:r>
          </w:p>
          <w:p w14:paraId="19819B8C">
            <w:pPr>
              <w:jc w:val="both"/>
              <w:rPr>
                <w:rFonts w:ascii="Times New Roman" w:hAnsi="Times New Roman" w:eastAsia="仿宋" w:cs="Times New Roman"/>
                <w:kern w:val="2"/>
              </w:rPr>
            </w:pPr>
            <w:r>
              <w:rPr>
                <w:rFonts w:ascii="Times New Roman" w:hAnsi="Times New Roman" w:eastAsia="仿宋" w:cs="Times New Roman"/>
                <w:kern w:val="2"/>
                <w:lang w:eastAsia="zh-CN"/>
              </w:rPr>
              <w:t>（3）翁牛特旗境内农村无黑臭水体。</w:t>
            </w:r>
            <w:r>
              <w:rPr>
                <w:rFonts w:ascii="Times New Roman" w:hAnsi="Times New Roman" w:eastAsia="仿宋" w:cs="Times New Roman"/>
                <w:kern w:val="2"/>
              </w:rPr>
              <w:t>农村黑臭水体。</w:t>
            </w:r>
          </w:p>
        </w:tc>
        <w:tc>
          <w:tcPr>
            <w:tcW w:w="1386" w:type="dxa"/>
            <w:tcBorders>
              <w:top w:val="single" w:color="auto" w:sz="4" w:space="0"/>
              <w:left w:val="single" w:color="000000" w:sz="4" w:space="0"/>
              <w:bottom w:val="single" w:color="auto" w:sz="4" w:space="0"/>
              <w:right w:val="single" w:color="000000" w:sz="4" w:space="0"/>
            </w:tcBorders>
            <w:vAlign w:val="center"/>
          </w:tcPr>
          <w:p w14:paraId="1C390EF2">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auto" w:sz="4" w:space="0"/>
              <w:left w:val="single" w:color="000000" w:sz="4" w:space="0"/>
              <w:bottom w:val="single" w:color="auto" w:sz="4" w:space="0"/>
              <w:right w:val="single" w:color="000000" w:sz="4" w:space="0"/>
            </w:tcBorders>
            <w:vAlign w:val="center"/>
          </w:tcPr>
          <w:p w14:paraId="7D6927B3">
            <w:pP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完成上级规定的考核任务，且保持稳定或持续提高≥95</w:t>
            </w:r>
          </w:p>
          <w:p w14:paraId="4624FDEE">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100</w:t>
            </w:r>
          </w:p>
        </w:tc>
        <w:tc>
          <w:tcPr>
            <w:tcW w:w="1559" w:type="dxa"/>
            <w:tcBorders>
              <w:top w:val="single" w:color="auto" w:sz="4" w:space="0"/>
              <w:left w:val="single" w:color="000000" w:sz="4" w:space="0"/>
              <w:bottom w:val="single" w:color="auto" w:sz="4" w:space="0"/>
              <w:right w:val="single" w:color="000000" w:sz="4" w:space="0"/>
            </w:tcBorders>
            <w:vAlign w:val="center"/>
          </w:tcPr>
          <w:p w14:paraId="142E6FB3">
            <w:pPr>
              <w:ind w:firstLine="210" w:firstLineChars="100"/>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w:t>
            </w:r>
          </w:p>
          <w:p w14:paraId="547FF081">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≥95</w:t>
            </w:r>
          </w:p>
          <w:p w14:paraId="4B3A73D5">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100</w:t>
            </w:r>
          </w:p>
        </w:tc>
      </w:tr>
      <w:tr w14:paraId="27004909">
        <w:tblPrEx>
          <w:tblCellMar>
            <w:top w:w="36" w:type="dxa"/>
            <w:left w:w="5" w:type="dxa"/>
            <w:bottom w:w="38" w:type="dxa"/>
            <w:right w:w="0" w:type="dxa"/>
          </w:tblCellMar>
        </w:tblPrEx>
        <w:trPr>
          <w:trHeight w:val="2321" w:hRule="atLeast"/>
          <w:jc w:val="center"/>
        </w:trPr>
        <w:tc>
          <w:tcPr>
            <w:tcW w:w="699" w:type="dxa"/>
            <w:vMerge w:val="restart"/>
            <w:tcBorders>
              <w:top w:val="single" w:color="auto" w:sz="4" w:space="0"/>
              <w:left w:val="single" w:color="000000" w:sz="8" w:space="0"/>
              <w:right w:val="single" w:color="000000" w:sz="4" w:space="0"/>
            </w:tcBorders>
            <w:vAlign w:val="center"/>
          </w:tcPr>
          <w:p w14:paraId="2470715F">
            <w:pPr>
              <w:jc w:val="center"/>
              <w:rPr>
                <w:rFonts w:ascii="Times New Roman" w:hAnsi="Times New Roman" w:eastAsia="仿宋" w:cs="Times New Roman"/>
                <w:kern w:val="2"/>
              </w:rPr>
            </w:pPr>
            <w:r>
              <w:rPr>
                <w:rFonts w:ascii="Times New Roman" w:hAnsi="Times New Roman" w:eastAsia="仿宋" w:cs="Times New Roman"/>
                <w:kern w:val="2"/>
              </w:rPr>
              <w:t>生态</w:t>
            </w:r>
          </w:p>
          <w:p w14:paraId="36D003F6">
            <w:pPr>
              <w:jc w:val="center"/>
              <w:rPr>
                <w:rFonts w:ascii="Times New Roman" w:hAnsi="Times New Roman" w:eastAsia="仿宋" w:cs="Times New Roman"/>
                <w:kern w:val="2"/>
              </w:rPr>
            </w:pPr>
            <w:r>
              <w:rPr>
                <w:rFonts w:ascii="Times New Roman" w:hAnsi="Times New Roman" w:eastAsia="仿宋" w:cs="Times New Roman"/>
                <w:kern w:val="2"/>
              </w:rPr>
              <w:t>安全</w:t>
            </w:r>
          </w:p>
          <w:p w14:paraId="6534D540">
            <w:pPr>
              <w:jc w:val="center"/>
              <w:rPr>
                <w:rFonts w:ascii="Times New Roman" w:hAnsi="Times New Roman" w:eastAsia="仿宋" w:cs="Times New Roman"/>
                <w:kern w:val="2"/>
              </w:rPr>
            </w:pPr>
            <w:r>
              <w:rPr>
                <w:rFonts w:ascii="Times New Roman" w:hAnsi="Times New Roman" w:eastAsia="仿宋" w:cs="Times New Roman"/>
                <w:kern w:val="2"/>
              </w:rPr>
              <w:t>生态</w:t>
            </w:r>
          </w:p>
          <w:p w14:paraId="08BA0E4D">
            <w:pPr>
              <w:jc w:val="center"/>
              <w:rPr>
                <w:rFonts w:ascii="Times New Roman" w:hAnsi="Times New Roman" w:eastAsia="仿宋" w:cs="Times New Roman"/>
                <w:kern w:val="2"/>
              </w:rPr>
            </w:pPr>
            <w:r>
              <w:rPr>
                <w:rFonts w:ascii="Times New Roman" w:hAnsi="Times New Roman" w:eastAsia="仿宋" w:cs="Times New Roman"/>
                <w:kern w:val="2"/>
              </w:rPr>
              <w:t>安全</w:t>
            </w:r>
          </w:p>
        </w:tc>
        <w:tc>
          <w:tcPr>
            <w:tcW w:w="857" w:type="dxa"/>
            <w:vMerge w:val="restart"/>
            <w:tcBorders>
              <w:top w:val="single" w:color="000000" w:sz="4" w:space="0"/>
              <w:left w:val="single" w:color="000000" w:sz="4" w:space="0"/>
              <w:right w:val="single" w:color="000000" w:sz="4" w:space="0"/>
            </w:tcBorders>
            <w:vAlign w:val="center"/>
          </w:tcPr>
          <w:p w14:paraId="64C349B5">
            <w:pPr>
              <w:jc w:val="center"/>
              <w:rPr>
                <w:rFonts w:ascii="Times New Roman" w:hAnsi="Times New Roman" w:eastAsia="仿宋" w:cs="Times New Roman"/>
                <w:kern w:val="2"/>
              </w:rPr>
            </w:pPr>
            <w:r>
              <w:rPr>
                <w:rFonts w:ascii="Times New Roman" w:hAnsi="Times New Roman" w:eastAsia="仿宋" w:cs="Times New Roman"/>
                <w:kern w:val="2"/>
              </w:rPr>
              <w:t>（三）生态质量提升</w:t>
            </w:r>
          </w:p>
        </w:tc>
        <w:tc>
          <w:tcPr>
            <w:tcW w:w="712" w:type="dxa"/>
            <w:tcBorders>
              <w:top w:val="single" w:color="000000" w:sz="4" w:space="0"/>
              <w:left w:val="single" w:color="000000" w:sz="4" w:space="0"/>
              <w:bottom w:val="single" w:color="000000" w:sz="4" w:space="0"/>
              <w:right w:val="single" w:color="000000" w:sz="4" w:space="0"/>
            </w:tcBorders>
            <w:vAlign w:val="center"/>
          </w:tcPr>
          <w:p w14:paraId="32EF8543">
            <w:pPr>
              <w:jc w:val="center"/>
              <w:rPr>
                <w:rFonts w:ascii="Times New Roman" w:hAnsi="Times New Roman" w:eastAsia="仿宋" w:cs="Times New Roman"/>
                <w:kern w:val="2"/>
              </w:rPr>
            </w:pPr>
            <w:r>
              <w:rPr>
                <w:rFonts w:ascii="Times New Roman" w:hAnsi="Times New Roman" w:eastAsia="仿宋" w:cs="Times New Roman"/>
                <w:kern w:val="2"/>
              </w:rPr>
              <w:t>6</w:t>
            </w:r>
          </w:p>
        </w:tc>
        <w:tc>
          <w:tcPr>
            <w:tcW w:w="1864" w:type="dxa"/>
            <w:tcBorders>
              <w:top w:val="single" w:color="000000" w:sz="4" w:space="0"/>
              <w:left w:val="single" w:color="000000" w:sz="4" w:space="0"/>
              <w:bottom w:val="single" w:color="000000" w:sz="4" w:space="0"/>
              <w:right w:val="single" w:color="000000" w:sz="4" w:space="0"/>
            </w:tcBorders>
            <w:vAlign w:val="center"/>
          </w:tcPr>
          <w:p w14:paraId="29D83362">
            <w:pPr>
              <w:ind w:firstLine="210" w:firstLineChars="100"/>
              <w:jc w:val="center"/>
              <w:rPr>
                <w:rFonts w:ascii="Times New Roman" w:hAnsi="Times New Roman" w:eastAsia="仿宋" w:cs="Times New Roman"/>
                <w:kern w:val="2"/>
                <w:lang w:eastAsia="zh-CN"/>
              </w:rPr>
            </w:pPr>
            <w:bookmarkStart w:id="110" w:name="OLE_LINK124"/>
            <w:bookmarkStart w:id="111" w:name="OLE_LINK132"/>
            <w:r>
              <w:rPr>
                <w:rFonts w:ascii="Times New Roman" w:hAnsi="Times New Roman" w:eastAsia="仿宋" w:cs="Times New Roman"/>
                <w:kern w:val="2"/>
                <w:lang w:eastAsia="zh-CN"/>
              </w:rPr>
              <w:t>区域生态保护监管</w:t>
            </w:r>
          </w:p>
          <w:bookmarkEnd w:id="110"/>
          <w:bookmarkEnd w:id="111"/>
          <w:p w14:paraId="6637FA7C">
            <w:pPr>
              <w:ind w:firstLine="210" w:firstLineChars="100"/>
              <w:jc w:val="center"/>
              <w:rPr>
                <w:rFonts w:ascii="Times New Roman" w:hAnsi="Times New Roman" w:eastAsia="仿宋" w:cs="Times New Roman"/>
                <w:kern w:val="2"/>
                <w:lang w:eastAsia="zh-CN"/>
              </w:rPr>
            </w:pPr>
            <w:bookmarkStart w:id="112" w:name="OLE_LINK119"/>
            <w:bookmarkStart w:id="113" w:name="OLE_LINK120"/>
            <w:r>
              <w:rPr>
                <w:rFonts w:ascii="Times New Roman" w:hAnsi="Times New Roman" w:eastAsia="仿宋" w:cs="Times New Roman"/>
                <w:kern w:val="2"/>
                <w:lang w:eastAsia="zh-CN"/>
              </w:rPr>
              <w:t>生态质量指数（EQI）</w:t>
            </w:r>
            <w:bookmarkEnd w:id="112"/>
            <w:bookmarkEnd w:id="113"/>
          </w:p>
          <w:p w14:paraId="0C91569E">
            <w:pPr>
              <w:ind w:firstLine="210" w:firstLineChars="100"/>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自然保护地和生态保护红线生态环境重点问题整改率</w:t>
            </w:r>
          </w:p>
          <w:p w14:paraId="3EB4B0A2">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生物多样性调查</w:t>
            </w:r>
          </w:p>
        </w:tc>
        <w:tc>
          <w:tcPr>
            <w:tcW w:w="709" w:type="dxa"/>
            <w:tcBorders>
              <w:top w:val="single" w:color="000000" w:sz="4" w:space="0"/>
              <w:left w:val="single" w:color="000000" w:sz="4" w:space="0"/>
              <w:bottom w:val="single" w:color="000000" w:sz="4" w:space="0"/>
              <w:right w:val="single" w:color="000000" w:sz="4" w:space="0"/>
            </w:tcBorders>
            <w:vAlign w:val="center"/>
          </w:tcPr>
          <w:p w14:paraId="34E90A66">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6B40B2D5">
            <w:pPr>
              <w:ind w:firstLine="210" w:firstLineChars="100"/>
              <w:jc w:val="center"/>
              <w:rPr>
                <w:rFonts w:ascii="Times New Roman" w:hAnsi="Times New Roman" w:eastAsia="仿宋" w:cs="Times New Roman"/>
                <w:kern w:val="2"/>
              </w:rPr>
            </w:pPr>
            <w:r>
              <w:rPr>
                <w:rFonts w:ascii="Cambria Math" w:hAnsi="Cambria Math" w:eastAsia="仿宋" w:cs="Cambria Math"/>
                <w:kern w:val="2"/>
              </w:rPr>
              <w:t>△</w:t>
            </w:r>
            <w:r>
              <w:rPr>
                <w:rFonts w:ascii="Times New Roman" w:hAnsi="Times New Roman" w:eastAsia="仿宋" w:cs="Times New Roman"/>
                <w:kern w:val="2"/>
              </w:rPr>
              <w:t>EQI&gt;-1</w:t>
            </w:r>
          </w:p>
          <w:p w14:paraId="2C199608">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100</w:t>
            </w:r>
          </w:p>
          <w:p w14:paraId="6C9D8619">
            <w:pPr>
              <w:ind w:firstLine="210" w:firstLineChars="100"/>
              <w:jc w:val="center"/>
              <w:rPr>
                <w:rFonts w:ascii="Times New Roman" w:hAnsi="Times New Roman" w:eastAsia="仿宋" w:cs="Times New Roman"/>
                <w:kern w:val="2"/>
              </w:rPr>
            </w:pPr>
            <w:r>
              <w:rPr>
                <w:rFonts w:ascii="Times New Roman" w:hAnsi="Times New Roman" w:eastAsia="仿宋" w:cs="Times New Roman"/>
                <w:kern w:val="2"/>
              </w:rPr>
              <w:t>开展</w:t>
            </w:r>
          </w:p>
        </w:tc>
        <w:tc>
          <w:tcPr>
            <w:tcW w:w="1134" w:type="dxa"/>
            <w:tcBorders>
              <w:top w:val="single" w:color="000000" w:sz="4" w:space="0"/>
              <w:left w:val="single" w:color="000000" w:sz="4" w:space="0"/>
              <w:bottom w:val="single" w:color="000000" w:sz="4" w:space="0"/>
              <w:right w:val="single" w:color="000000" w:sz="4" w:space="0"/>
            </w:tcBorders>
            <w:vAlign w:val="center"/>
          </w:tcPr>
          <w:p w14:paraId="722E5B13">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7768DA9D">
            <w:pPr>
              <w:jc w:val="both"/>
              <w:rPr>
                <w:rFonts w:ascii="Times New Roman" w:hAnsi="Times New Roman" w:eastAsia="仿宋" w:cs="Times New Roman"/>
                <w:lang w:eastAsia="zh-CN"/>
              </w:rPr>
            </w:pPr>
            <w:r>
              <w:rPr>
                <w:rFonts w:ascii="Times New Roman" w:hAnsi="Times New Roman" w:eastAsia="仿宋" w:cs="Times New Roman"/>
                <w:lang w:eastAsia="zh-CN"/>
              </w:rPr>
              <w:t>（1）2022年 EQI值为66.03， 2023年EQI值为62.91。</w:t>
            </w:r>
          </w:p>
          <w:p w14:paraId="0C97BCD6">
            <w:pPr>
              <w:jc w:val="both"/>
              <w:rPr>
                <w:rFonts w:ascii="Times New Roman" w:hAnsi="Times New Roman" w:eastAsia="仿宋" w:cs="Times New Roman"/>
                <w:kern w:val="2"/>
                <w:lang w:eastAsia="zh-CN"/>
              </w:rPr>
            </w:pPr>
            <w:r>
              <w:rPr>
                <w:rFonts w:ascii="Cambria Math" w:hAnsi="Cambria Math" w:eastAsia="仿宋" w:cs="Cambria Math"/>
                <w:lang w:eastAsia="zh-CN"/>
              </w:rPr>
              <w:t>△</w:t>
            </w:r>
            <w:r>
              <w:rPr>
                <w:rFonts w:ascii="Times New Roman" w:hAnsi="Times New Roman" w:eastAsia="仿宋" w:cs="Times New Roman"/>
                <w:lang w:eastAsia="zh-CN"/>
              </w:rPr>
              <w:t>EQI=-3.12。</w:t>
            </w:r>
          </w:p>
          <w:p w14:paraId="343424B3">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（2）当年问题当年完成整改，整改率100%。</w:t>
            </w:r>
          </w:p>
          <w:p w14:paraId="4F70C164">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（3）</w:t>
            </w:r>
            <w:bookmarkStart w:id="114" w:name="OLE_LINK405"/>
            <w:bookmarkStart w:id="115" w:name="OLE_LINK406"/>
            <w:r>
              <w:rPr>
                <w:rFonts w:ascii="Times New Roman" w:hAnsi="Times New Roman" w:eastAsia="仿宋" w:cs="Times New Roman"/>
                <w:kern w:val="2"/>
                <w:lang w:eastAsia="zh-CN"/>
              </w:rPr>
              <w:t>2022年，翁牛特旗依托松树山自然保护区、勃隆克国家沙漠公园、灯笼河草原公园开展生物多样性调查</w:t>
            </w:r>
            <w:bookmarkEnd w:id="114"/>
            <w:bookmarkEnd w:id="115"/>
            <w:r>
              <w:rPr>
                <w:rFonts w:ascii="Times New Roman" w:hAnsi="Times New Roman" w:eastAsia="仿宋" w:cs="Times New Roman"/>
                <w:kern w:val="2"/>
                <w:lang w:eastAsia="zh-CN"/>
              </w:rPr>
              <w:t>。</w:t>
            </w:r>
          </w:p>
        </w:tc>
        <w:tc>
          <w:tcPr>
            <w:tcW w:w="1386" w:type="dxa"/>
            <w:tcBorders>
              <w:top w:val="single" w:color="000000" w:sz="4" w:space="0"/>
              <w:left w:val="single" w:color="000000" w:sz="4" w:space="0"/>
              <w:bottom w:val="single" w:color="000000" w:sz="4" w:space="0"/>
              <w:right w:val="single" w:color="000000" w:sz="4" w:space="0"/>
            </w:tcBorders>
            <w:vAlign w:val="center"/>
          </w:tcPr>
          <w:p w14:paraId="02242751">
            <w:pPr>
              <w:jc w:val="center"/>
              <w:rPr>
                <w:rFonts w:ascii="Times New Roman" w:hAnsi="Times New Roman" w:eastAsia="仿宋" w:cs="Times New Roman"/>
                <w:kern w:val="2"/>
                <w:lang w:eastAsia="zh-CN"/>
              </w:rPr>
            </w:pPr>
            <w:r>
              <w:rPr>
                <w:rFonts w:ascii="Times New Roman" w:hAnsi="Times New Roman" w:cs="Times New Roman"/>
                <w:kern w:val="2"/>
                <w:lang w:eastAsia="zh-CN"/>
              </w:rPr>
              <w:t>2</w:t>
            </w:r>
            <w:r>
              <w:rPr>
                <w:rFonts w:ascii="Times New Roman" w:hAnsi="Times New Roman" w:eastAsia="仿宋" w:cs="Times New Roman"/>
                <w:kern w:val="2"/>
                <w:lang w:eastAsia="zh-CN"/>
              </w:rPr>
              <w:t>023年EQI计算采样三调国土数据，于2022年相比计算基数不同，两个年度不具备可比性。</w:t>
            </w:r>
          </w:p>
          <w:p w14:paraId="40050D24">
            <w:pPr>
              <w:jc w:val="center"/>
              <w:rPr>
                <w:rFonts w:ascii="Times New Roman" w:hAnsi="Times New Roman" w:eastAsia="仿宋" w:cs="Times New Roman"/>
                <w:kern w:val="2"/>
              </w:rPr>
            </w:pPr>
            <w:r>
              <w:rPr>
                <w:rFonts w:ascii="Times New Roman" w:hAnsi="Times New Roman" w:eastAsia="仿宋" w:cs="Times New Roman"/>
                <w:kern w:val="2"/>
              </w:rPr>
              <w:t>达标</w:t>
            </w:r>
          </w:p>
          <w:p w14:paraId="33B7F56B">
            <w:pPr>
              <w:jc w:val="center"/>
              <w:rPr>
                <w:rFonts w:ascii="Times New Roman" w:hAnsi="Times New Roman" w:eastAsia="仿宋" w:cs="Times New Roman"/>
                <w:color w:val="auto"/>
                <w:kern w:val="2"/>
              </w:rPr>
            </w:pPr>
            <w:r>
              <w:rPr>
                <w:rFonts w:ascii="Times New Roman" w:hAnsi="Times New Roman" w:eastAsia="仿宋" w:cs="Times New Roman"/>
                <w:kern w:val="2"/>
              </w:rPr>
              <w:t>已开展</w:t>
            </w:r>
          </w:p>
        </w:tc>
        <w:tc>
          <w:tcPr>
            <w:tcW w:w="1276" w:type="dxa"/>
            <w:tcBorders>
              <w:top w:val="single" w:color="000000" w:sz="4" w:space="0"/>
              <w:left w:val="single" w:color="000000" w:sz="4" w:space="0"/>
              <w:bottom w:val="single" w:color="000000" w:sz="4" w:space="0"/>
              <w:right w:val="single" w:color="000000" w:sz="4" w:space="0"/>
            </w:tcBorders>
            <w:vAlign w:val="center"/>
          </w:tcPr>
          <w:p w14:paraId="334EC66A">
            <w:pPr>
              <w:ind w:firstLine="210" w:firstLineChars="100"/>
              <w:jc w:val="center"/>
              <w:rPr>
                <w:rFonts w:ascii="Times New Roman" w:hAnsi="Times New Roman" w:eastAsia="仿宋" w:cs="Times New Roman"/>
                <w:kern w:val="2"/>
              </w:rPr>
            </w:pPr>
            <w:r>
              <w:rPr>
                <w:rFonts w:ascii="Cambria Math" w:hAnsi="Cambria Math" w:eastAsia="仿宋" w:cs="Cambria Math"/>
                <w:kern w:val="2"/>
              </w:rPr>
              <w:t>△</w:t>
            </w:r>
            <w:r>
              <w:rPr>
                <w:rFonts w:ascii="Times New Roman" w:hAnsi="Times New Roman" w:eastAsia="仿宋" w:cs="Times New Roman"/>
                <w:kern w:val="2"/>
              </w:rPr>
              <w:t>EQI&gt;-1</w:t>
            </w:r>
          </w:p>
          <w:p w14:paraId="701EA15A">
            <w:pPr>
              <w:jc w:val="center"/>
              <w:rPr>
                <w:rFonts w:ascii="Times New Roman" w:hAnsi="Times New Roman" w:eastAsia="仿宋" w:cs="Times New Roman"/>
                <w:kern w:val="2"/>
              </w:rPr>
            </w:pPr>
            <w:r>
              <w:rPr>
                <w:rFonts w:ascii="Times New Roman" w:hAnsi="Times New Roman" w:eastAsia="仿宋" w:cs="Times New Roman"/>
                <w:kern w:val="2"/>
              </w:rPr>
              <w:t>100%</w:t>
            </w:r>
          </w:p>
          <w:p w14:paraId="6220F985">
            <w:pPr>
              <w:jc w:val="center"/>
              <w:rPr>
                <w:rFonts w:ascii="Times New Roman" w:hAnsi="Times New Roman" w:eastAsia="仿宋" w:cs="Times New Roman"/>
                <w:kern w:val="2"/>
              </w:rPr>
            </w:pPr>
            <w:r>
              <w:rPr>
                <w:rFonts w:ascii="Times New Roman" w:hAnsi="Times New Roman" w:eastAsia="仿宋" w:cs="Times New Roman"/>
                <w:kern w:val="2"/>
              </w:rPr>
              <w:t>开展</w:t>
            </w:r>
          </w:p>
        </w:tc>
        <w:tc>
          <w:tcPr>
            <w:tcW w:w="1559" w:type="dxa"/>
            <w:tcBorders>
              <w:top w:val="single" w:color="000000" w:sz="4" w:space="0"/>
              <w:left w:val="single" w:color="000000" w:sz="4" w:space="0"/>
              <w:bottom w:val="single" w:color="000000" w:sz="4" w:space="0"/>
              <w:right w:val="single" w:color="000000" w:sz="4" w:space="0"/>
            </w:tcBorders>
            <w:vAlign w:val="center"/>
          </w:tcPr>
          <w:p w14:paraId="26115F06">
            <w:pPr>
              <w:jc w:val="center"/>
              <w:rPr>
                <w:rFonts w:ascii="Times New Roman" w:hAnsi="Times New Roman" w:eastAsia="仿宋" w:cs="Times New Roman"/>
                <w:kern w:val="2"/>
              </w:rPr>
            </w:pPr>
            <w:r>
              <w:rPr>
                <w:rFonts w:ascii="Cambria Math" w:hAnsi="Cambria Math" w:eastAsia="仿宋" w:cs="Cambria Math"/>
                <w:kern w:val="2"/>
              </w:rPr>
              <w:t>△</w:t>
            </w:r>
            <w:r>
              <w:rPr>
                <w:rFonts w:ascii="Times New Roman" w:hAnsi="Times New Roman" w:eastAsia="仿宋" w:cs="Times New Roman"/>
                <w:kern w:val="2"/>
              </w:rPr>
              <w:t>EQI&gt;-1</w:t>
            </w:r>
          </w:p>
          <w:p w14:paraId="03773EC0">
            <w:pPr>
              <w:jc w:val="center"/>
              <w:rPr>
                <w:rFonts w:ascii="Times New Roman" w:hAnsi="Times New Roman" w:eastAsia="仿宋" w:cs="Times New Roman"/>
                <w:kern w:val="2"/>
              </w:rPr>
            </w:pPr>
            <w:r>
              <w:rPr>
                <w:rFonts w:ascii="Times New Roman" w:hAnsi="Times New Roman" w:eastAsia="仿宋" w:cs="Times New Roman"/>
                <w:kern w:val="2"/>
              </w:rPr>
              <w:t>100%</w:t>
            </w:r>
          </w:p>
          <w:p w14:paraId="10AF0FDD">
            <w:pPr>
              <w:jc w:val="center"/>
              <w:rPr>
                <w:rFonts w:ascii="Times New Roman" w:hAnsi="Times New Roman" w:eastAsia="仿宋" w:cs="Times New Roman"/>
                <w:kern w:val="2"/>
              </w:rPr>
            </w:pPr>
            <w:r>
              <w:rPr>
                <w:rFonts w:ascii="Times New Roman" w:hAnsi="Times New Roman" w:eastAsia="仿宋" w:cs="Times New Roman"/>
                <w:kern w:val="2"/>
              </w:rPr>
              <w:t>开展</w:t>
            </w:r>
          </w:p>
        </w:tc>
      </w:tr>
      <w:tr w14:paraId="01B372B3">
        <w:tblPrEx>
          <w:tblCellMar>
            <w:top w:w="36" w:type="dxa"/>
            <w:left w:w="5" w:type="dxa"/>
            <w:bottom w:w="38" w:type="dxa"/>
            <w:right w:w="0" w:type="dxa"/>
          </w:tblCellMar>
        </w:tblPrEx>
        <w:trPr>
          <w:trHeight w:val="1410" w:hRule="atLeast"/>
          <w:jc w:val="center"/>
        </w:trPr>
        <w:tc>
          <w:tcPr>
            <w:tcW w:w="699" w:type="dxa"/>
            <w:vMerge w:val="continue"/>
            <w:tcBorders>
              <w:left w:val="single" w:color="000000" w:sz="8" w:space="0"/>
              <w:right w:val="single" w:color="000000" w:sz="4" w:space="0"/>
            </w:tcBorders>
            <w:vAlign w:val="center"/>
          </w:tcPr>
          <w:p w14:paraId="51F914BF">
            <w:pPr>
              <w:jc w:val="center"/>
              <w:rPr>
                <w:rFonts w:ascii="Times New Roman" w:hAnsi="Times New Roman" w:eastAsia="仿宋" w:cs="Times New Roman"/>
                <w:kern w:val="2"/>
              </w:rPr>
            </w:pPr>
          </w:p>
        </w:tc>
        <w:tc>
          <w:tcPr>
            <w:tcW w:w="857" w:type="dxa"/>
            <w:vMerge w:val="continue"/>
            <w:tcBorders>
              <w:left w:val="single" w:color="000000" w:sz="4" w:space="0"/>
              <w:right w:val="single" w:color="000000" w:sz="4" w:space="0"/>
            </w:tcBorders>
            <w:vAlign w:val="center"/>
          </w:tcPr>
          <w:p w14:paraId="5B9DC6F7">
            <w:pPr>
              <w:jc w:val="center"/>
              <w:rPr>
                <w:rFonts w:ascii="Times New Roman" w:hAnsi="Times New Roman" w:eastAsia="仿宋" w:cs="Times New Roman"/>
                <w:kern w:val="2"/>
              </w:rPr>
            </w:pPr>
          </w:p>
        </w:tc>
        <w:tc>
          <w:tcPr>
            <w:tcW w:w="712" w:type="dxa"/>
            <w:tcBorders>
              <w:top w:val="single" w:color="000000" w:sz="4" w:space="0"/>
              <w:left w:val="single" w:color="000000" w:sz="4" w:space="0"/>
              <w:bottom w:val="single" w:color="auto" w:sz="4" w:space="0"/>
              <w:right w:val="single" w:color="000000" w:sz="4" w:space="0"/>
            </w:tcBorders>
            <w:vAlign w:val="center"/>
          </w:tcPr>
          <w:p w14:paraId="4EE6DAEE">
            <w:pPr>
              <w:jc w:val="center"/>
              <w:rPr>
                <w:rFonts w:ascii="Times New Roman" w:hAnsi="Times New Roman" w:eastAsia="仿宋" w:cs="Times New Roman"/>
                <w:kern w:val="2"/>
              </w:rPr>
            </w:pPr>
            <w:r>
              <w:rPr>
                <w:rFonts w:ascii="Times New Roman" w:hAnsi="Times New Roman" w:eastAsia="仿宋" w:cs="Times New Roman"/>
                <w:kern w:val="2"/>
              </w:rPr>
              <w:t>7</w:t>
            </w:r>
          </w:p>
        </w:tc>
        <w:tc>
          <w:tcPr>
            <w:tcW w:w="1864" w:type="dxa"/>
            <w:tcBorders>
              <w:top w:val="single" w:color="000000" w:sz="4" w:space="0"/>
              <w:left w:val="single" w:color="000000" w:sz="4" w:space="0"/>
              <w:bottom w:val="single" w:color="auto" w:sz="4" w:space="0"/>
              <w:right w:val="single" w:color="000000" w:sz="4" w:space="0"/>
            </w:tcBorders>
            <w:vAlign w:val="center"/>
          </w:tcPr>
          <w:p w14:paraId="0969B734">
            <w:pPr>
              <w:jc w:val="center"/>
              <w:rPr>
                <w:rFonts w:ascii="Times New Roman" w:hAnsi="Times New Roman" w:eastAsia="仿宋" w:cs="Times New Roman"/>
                <w:kern w:val="2"/>
                <w:lang w:eastAsia="zh-CN"/>
              </w:rPr>
            </w:pPr>
            <w:bookmarkStart w:id="116" w:name="OLE_LINK123"/>
            <w:r>
              <w:rPr>
                <w:rFonts w:ascii="Times New Roman" w:hAnsi="Times New Roman" w:eastAsia="仿宋" w:cs="Times New Roman"/>
                <w:kern w:val="2"/>
                <w:lang w:eastAsia="zh-CN"/>
              </w:rPr>
              <w:t>生态系统保护</w:t>
            </w:r>
            <w:bookmarkEnd w:id="116"/>
          </w:p>
          <w:p w14:paraId="37A5F818">
            <w:pPr>
              <w:ind w:firstLine="210" w:firstLineChars="100"/>
              <w:jc w:val="center"/>
              <w:rPr>
                <w:rFonts w:ascii="Times New Roman" w:hAnsi="Times New Roman" w:eastAsia="仿宋" w:cs="Times New Roman"/>
                <w:kern w:val="2"/>
                <w:lang w:eastAsia="zh-CN"/>
              </w:rPr>
            </w:pPr>
            <w:bookmarkStart w:id="117" w:name="OLE_LINK305"/>
            <w:bookmarkStart w:id="118" w:name="OLE_LINK306"/>
            <w:bookmarkStart w:id="119" w:name="OLE_LINK121"/>
            <w:bookmarkStart w:id="120" w:name="OLE_LINK122"/>
            <w:r>
              <w:rPr>
                <w:rFonts w:ascii="Times New Roman" w:hAnsi="Times New Roman" w:eastAsia="仿宋" w:cs="Times New Roman"/>
                <w:kern w:val="2"/>
                <w:lang w:eastAsia="zh-CN"/>
              </w:rPr>
              <w:t>森林覆盖率</w:t>
            </w:r>
            <w:bookmarkEnd w:id="117"/>
            <w:bookmarkEnd w:id="118"/>
            <w:r>
              <w:rPr>
                <w:rFonts w:ascii="Times New Roman" w:hAnsi="Times New Roman" w:eastAsia="仿宋" w:cs="Times New Roman"/>
                <w:kern w:val="2"/>
                <w:lang w:eastAsia="zh-CN"/>
              </w:rPr>
              <w:t>*</w:t>
            </w:r>
          </w:p>
          <w:p w14:paraId="752B7F04">
            <w:pPr>
              <w:ind w:firstLine="210" w:firstLineChars="100"/>
              <w:jc w:val="center"/>
              <w:rPr>
                <w:rFonts w:ascii="Times New Roman" w:hAnsi="Times New Roman" w:eastAsia="仿宋" w:cs="Times New Roman"/>
                <w:kern w:val="2"/>
              </w:rPr>
            </w:pPr>
            <w:bookmarkStart w:id="121" w:name="OLE_LINK57"/>
            <w:bookmarkStart w:id="122" w:name="OLE_LINK58"/>
            <w:r>
              <w:rPr>
                <w:rFonts w:ascii="Times New Roman" w:hAnsi="Times New Roman" w:eastAsia="仿宋" w:cs="Times New Roman"/>
                <w:kern w:val="2"/>
              </w:rPr>
              <w:t>草原综合植被盖度</w:t>
            </w:r>
            <w:bookmarkEnd w:id="121"/>
            <w:bookmarkEnd w:id="122"/>
            <w:r>
              <w:rPr>
                <w:rFonts w:ascii="Times New Roman" w:hAnsi="Times New Roman" w:eastAsia="仿宋" w:cs="Times New Roman"/>
                <w:kern w:val="2"/>
              </w:rPr>
              <w:t>*</w:t>
            </w:r>
            <w:bookmarkEnd w:id="119"/>
            <w:bookmarkEnd w:id="120"/>
          </w:p>
        </w:tc>
        <w:tc>
          <w:tcPr>
            <w:tcW w:w="709" w:type="dxa"/>
            <w:tcBorders>
              <w:top w:val="single" w:color="000000" w:sz="4" w:space="0"/>
              <w:left w:val="single" w:color="000000" w:sz="4" w:space="0"/>
              <w:bottom w:val="single" w:color="auto" w:sz="4" w:space="0"/>
              <w:right w:val="single" w:color="000000" w:sz="4" w:space="0"/>
            </w:tcBorders>
            <w:vAlign w:val="center"/>
          </w:tcPr>
          <w:p w14:paraId="20B4B58A">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auto" w:sz="4" w:space="0"/>
              <w:right w:val="single" w:color="000000" w:sz="4" w:space="0"/>
            </w:tcBorders>
            <w:vAlign w:val="center"/>
          </w:tcPr>
          <w:p w14:paraId="4FA536FD">
            <w:pPr>
              <w:rPr>
                <w:rFonts w:ascii="Times New Roman" w:hAnsi="Times New Roman" w:eastAsia="仿宋" w:cs="Times New Roman"/>
                <w:kern w:val="2"/>
                <w:lang w:eastAsia="zh-CN"/>
              </w:rPr>
            </w:pPr>
            <w:r>
              <w:rPr>
                <w:rFonts w:ascii="Times New Roman" w:hAnsi="Times New Roman" w:eastAsia="仿宋" w:cs="Times New Roman"/>
                <w:kern w:val="2"/>
                <w:lang w:eastAsia="zh-CN"/>
              </w:rPr>
              <w:t>保持稳定或持续改善</w:t>
            </w:r>
          </w:p>
          <w:p w14:paraId="103B692C">
            <w:pPr>
              <w:rPr>
                <w:rFonts w:ascii="Times New Roman" w:hAnsi="Times New Roman" w:eastAsia="仿宋" w:cs="Times New Roman"/>
                <w:kern w:val="2"/>
                <w:lang w:eastAsia="zh-CN"/>
              </w:rPr>
            </w:pPr>
            <w:bookmarkStart w:id="123" w:name="OLE_LINK59"/>
            <w:bookmarkStart w:id="124" w:name="OLE_LINK60"/>
            <w:r>
              <w:rPr>
                <w:rFonts w:ascii="Times New Roman" w:hAnsi="Times New Roman" w:eastAsia="仿宋" w:cs="Times New Roman"/>
                <w:kern w:val="2"/>
                <w:lang w:eastAsia="zh-CN"/>
              </w:rPr>
              <w:t>保持稳定或持续改善</w:t>
            </w:r>
            <w:bookmarkEnd w:id="123"/>
            <w:bookmarkEnd w:id="124"/>
          </w:p>
        </w:tc>
        <w:tc>
          <w:tcPr>
            <w:tcW w:w="1134" w:type="dxa"/>
            <w:tcBorders>
              <w:top w:val="single" w:color="000000" w:sz="4" w:space="0"/>
              <w:left w:val="single" w:color="000000" w:sz="4" w:space="0"/>
              <w:bottom w:val="single" w:color="auto" w:sz="4" w:space="0"/>
              <w:right w:val="single" w:color="000000" w:sz="4" w:space="0"/>
            </w:tcBorders>
            <w:vAlign w:val="center"/>
          </w:tcPr>
          <w:p w14:paraId="523E679E">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约束性</w:t>
            </w:r>
          </w:p>
        </w:tc>
        <w:tc>
          <w:tcPr>
            <w:tcW w:w="2835" w:type="dxa"/>
            <w:tcBorders>
              <w:top w:val="single" w:color="000000" w:sz="4" w:space="0"/>
              <w:left w:val="single" w:color="000000" w:sz="4" w:space="0"/>
              <w:bottom w:val="single" w:color="auto" w:sz="4" w:space="0"/>
              <w:right w:val="single" w:color="000000" w:sz="4" w:space="0"/>
            </w:tcBorders>
            <w:vAlign w:val="center"/>
          </w:tcPr>
          <w:p w14:paraId="3ECBD338">
            <w:pPr>
              <w:jc w:val="both"/>
              <w:rPr>
                <w:rFonts w:ascii="Times New Roman" w:hAnsi="Times New Roman" w:eastAsia="仿宋" w:cs="Times New Roman"/>
                <w:kern w:val="2"/>
                <w:lang w:eastAsia="zh-CN"/>
              </w:rPr>
            </w:pPr>
            <w:bookmarkStart w:id="125" w:name="OLE_LINK160"/>
            <w:bookmarkStart w:id="126" w:name="OLE_LINK161"/>
            <w:r>
              <w:rPr>
                <w:rFonts w:ascii="Times New Roman" w:hAnsi="Times New Roman" w:eastAsia="仿宋" w:cs="Times New Roman"/>
                <w:kern w:val="2"/>
                <w:lang w:eastAsia="zh-CN"/>
              </w:rPr>
              <w:t>（1）</w:t>
            </w:r>
            <w:bookmarkStart w:id="127" w:name="OLE_LINK329"/>
            <w:r>
              <w:rPr>
                <w:rFonts w:ascii="Times New Roman" w:hAnsi="Times New Roman" w:eastAsia="仿宋" w:cs="Times New Roman"/>
                <w:kern w:val="2"/>
                <w:lang w:eastAsia="zh-CN"/>
              </w:rPr>
              <w:t>2018年-2023年全旗森林覆盖率分别为28.5%、28.5%、29.66%、29.66%、29.68%和28.24%；</w:t>
            </w:r>
          </w:p>
          <w:p w14:paraId="6377286C">
            <w:pPr>
              <w:jc w:val="both"/>
              <w:rPr>
                <w:rFonts w:ascii="Times New Roman" w:hAnsi="Times New Roman" w:eastAsia="仿宋" w:cs="Times New Roman"/>
                <w:kern w:val="2"/>
                <w:lang w:eastAsia="zh-CN"/>
              </w:rPr>
            </w:pPr>
            <w:bookmarkStart w:id="128" w:name="OLE_LINK280"/>
            <w:bookmarkStart w:id="129" w:name="OLE_LINK281"/>
            <w:r>
              <w:rPr>
                <w:rFonts w:ascii="Times New Roman" w:hAnsi="Times New Roman" w:eastAsia="仿宋" w:cs="Times New Roman"/>
                <w:kern w:val="2"/>
                <w:lang w:eastAsia="zh-CN"/>
              </w:rPr>
              <w:t>（2）</w:t>
            </w:r>
            <w:bookmarkStart w:id="130" w:name="OLE_LINK407"/>
            <w:bookmarkStart w:id="131" w:name="OLE_LINK408"/>
            <w:r>
              <w:rPr>
                <w:rFonts w:ascii="Times New Roman" w:hAnsi="Times New Roman" w:eastAsia="仿宋" w:cs="Times New Roman"/>
                <w:kern w:val="2"/>
                <w:lang w:eastAsia="zh-CN"/>
              </w:rPr>
              <w:t>2018年-2023年全旗</w:t>
            </w:r>
            <w:bookmarkEnd w:id="128"/>
            <w:bookmarkEnd w:id="129"/>
            <w:r>
              <w:rPr>
                <w:rFonts w:ascii="Times New Roman" w:hAnsi="Times New Roman" w:eastAsia="仿宋" w:cs="Times New Roman"/>
                <w:kern w:val="2"/>
                <w:lang w:eastAsia="zh-CN"/>
              </w:rPr>
              <w:t>草原综合植被盖度分别为60.0%、61%、62%、64.0%、62.9%和</w:t>
            </w:r>
            <w:bookmarkEnd w:id="125"/>
            <w:bookmarkEnd w:id="126"/>
            <w:r>
              <w:rPr>
                <w:rFonts w:ascii="Times New Roman" w:hAnsi="Times New Roman" w:eastAsia="仿宋" w:cs="Times New Roman"/>
                <w:kern w:val="2"/>
                <w:lang w:eastAsia="zh-CN"/>
              </w:rPr>
              <w:t>54.0</w:t>
            </w:r>
            <w:bookmarkEnd w:id="130"/>
            <w:bookmarkEnd w:id="131"/>
            <w:r>
              <w:rPr>
                <w:rFonts w:ascii="Times New Roman" w:hAnsi="Times New Roman" w:eastAsia="仿宋" w:cs="Times New Roman"/>
                <w:kern w:val="2"/>
                <w:lang w:eastAsia="zh-CN"/>
              </w:rPr>
              <w:t>%</w:t>
            </w:r>
            <w:bookmarkEnd w:id="127"/>
          </w:p>
        </w:tc>
        <w:tc>
          <w:tcPr>
            <w:tcW w:w="1386" w:type="dxa"/>
            <w:tcBorders>
              <w:top w:val="single" w:color="000000" w:sz="4" w:space="0"/>
              <w:left w:val="single" w:color="000000" w:sz="4" w:space="0"/>
              <w:bottom w:val="single" w:color="auto" w:sz="4" w:space="0"/>
              <w:right w:val="single" w:color="000000" w:sz="4" w:space="0"/>
            </w:tcBorders>
            <w:vAlign w:val="center"/>
          </w:tcPr>
          <w:p w14:paraId="6D56A5FA">
            <w:pPr>
              <w:jc w:val="center"/>
              <w:rPr>
                <w:rFonts w:ascii="Times New Roman" w:hAnsi="Times New Roman" w:eastAsia="仿宋" w:cs="Times New Roman"/>
                <w:color w:val="auto"/>
                <w:kern w:val="2"/>
                <w:lang w:eastAsia="zh-CN"/>
              </w:rPr>
            </w:pPr>
            <w:r>
              <w:rPr>
                <w:rFonts w:ascii="Times New Roman" w:hAnsi="Times New Roman" w:cs="Times New Roman"/>
                <w:kern w:val="2"/>
                <w:lang w:eastAsia="zh-CN"/>
              </w:rPr>
              <w:t>2</w:t>
            </w:r>
            <w:r>
              <w:rPr>
                <w:rFonts w:ascii="Times New Roman" w:hAnsi="Times New Roman" w:eastAsia="仿宋" w:cs="Times New Roman"/>
                <w:kern w:val="2"/>
                <w:lang w:eastAsia="zh-CN"/>
              </w:rPr>
              <w:t>022年和2023年森林覆盖率、草原综合植被盖度所使用的计算数据不同，不具备可比性</w:t>
            </w:r>
          </w:p>
        </w:tc>
        <w:tc>
          <w:tcPr>
            <w:tcW w:w="1276" w:type="dxa"/>
            <w:tcBorders>
              <w:top w:val="single" w:color="000000" w:sz="4" w:space="0"/>
              <w:left w:val="single" w:color="000000" w:sz="4" w:space="0"/>
              <w:bottom w:val="single" w:color="auto" w:sz="4" w:space="0"/>
              <w:right w:val="single" w:color="000000" w:sz="4" w:space="0"/>
            </w:tcBorders>
            <w:vAlign w:val="center"/>
          </w:tcPr>
          <w:p w14:paraId="302A537E">
            <w:pPr>
              <w:rPr>
                <w:rFonts w:ascii="Times New Roman" w:hAnsi="Times New Roman" w:eastAsia="仿宋" w:cs="Times New Roman"/>
                <w:kern w:val="2"/>
                <w:lang w:eastAsia="zh-CN"/>
              </w:rPr>
            </w:pPr>
            <w:r>
              <w:rPr>
                <w:rFonts w:ascii="Times New Roman" w:hAnsi="Times New Roman" w:eastAsia="仿宋" w:cs="Times New Roman"/>
                <w:kern w:val="2"/>
                <w:lang w:eastAsia="zh-CN"/>
              </w:rPr>
              <w:t>保持稳定或持续改善</w:t>
            </w:r>
          </w:p>
          <w:p w14:paraId="62D1E35C">
            <w:pPr>
              <w:rPr>
                <w:rFonts w:ascii="Times New Roman" w:hAnsi="Times New Roman" w:eastAsia="仿宋" w:cs="Times New Roman"/>
                <w:kern w:val="2"/>
                <w:lang w:eastAsia="zh-CN"/>
              </w:rPr>
            </w:pPr>
            <w:r>
              <w:rPr>
                <w:rFonts w:ascii="Times New Roman" w:hAnsi="Times New Roman" w:eastAsia="仿宋" w:cs="Times New Roman"/>
                <w:kern w:val="2"/>
                <w:lang w:eastAsia="zh-CN"/>
              </w:rPr>
              <w:t>保持稳定或持续改善</w:t>
            </w:r>
          </w:p>
        </w:tc>
        <w:tc>
          <w:tcPr>
            <w:tcW w:w="1559" w:type="dxa"/>
            <w:tcBorders>
              <w:top w:val="single" w:color="000000" w:sz="4" w:space="0"/>
              <w:left w:val="single" w:color="000000" w:sz="4" w:space="0"/>
              <w:bottom w:val="single" w:color="auto" w:sz="4" w:space="0"/>
              <w:right w:val="single" w:color="000000" w:sz="4" w:space="0"/>
            </w:tcBorders>
            <w:vAlign w:val="center"/>
          </w:tcPr>
          <w:p w14:paraId="290C316A">
            <w:pPr>
              <w:rPr>
                <w:rFonts w:ascii="Times New Roman" w:hAnsi="Times New Roman" w:eastAsia="仿宋" w:cs="Times New Roman"/>
                <w:kern w:val="2"/>
                <w:lang w:eastAsia="zh-CN"/>
              </w:rPr>
            </w:pPr>
            <w:r>
              <w:rPr>
                <w:rFonts w:ascii="Times New Roman" w:hAnsi="Times New Roman" w:eastAsia="仿宋" w:cs="Times New Roman"/>
                <w:kern w:val="2"/>
                <w:lang w:eastAsia="zh-CN"/>
              </w:rPr>
              <w:t>保持稳定或持续改善</w:t>
            </w:r>
          </w:p>
          <w:p w14:paraId="53D0860D">
            <w:pPr>
              <w:rPr>
                <w:rFonts w:ascii="Times New Roman" w:hAnsi="Times New Roman" w:eastAsia="仿宋" w:cs="Times New Roman"/>
                <w:kern w:val="2"/>
                <w:lang w:eastAsia="zh-CN"/>
              </w:rPr>
            </w:pPr>
            <w:r>
              <w:rPr>
                <w:rFonts w:ascii="Times New Roman" w:hAnsi="Times New Roman" w:eastAsia="仿宋" w:cs="Times New Roman"/>
                <w:kern w:val="2"/>
                <w:lang w:eastAsia="zh-CN"/>
              </w:rPr>
              <w:t>保持稳定或持续改善</w:t>
            </w:r>
          </w:p>
        </w:tc>
      </w:tr>
      <w:tr w14:paraId="59A3AE4E">
        <w:tblPrEx>
          <w:tblCellMar>
            <w:top w:w="36" w:type="dxa"/>
            <w:left w:w="5" w:type="dxa"/>
            <w:bottom w:w="38" w:type="dxa"/>
            <w:right w:w="0" w:type="dxa"/>
          </w:tblCellMar>
        </w:tblPrEx>
        <w:trPr>
          <w:trHeight w:val="817" w:hRule="atLeast"/>
          <w:jc w:val="center"/>
        </w:trPr>
        <w:tc>
          <w:tcPr>
            <w:tcW w:w="699" w:type="dxa"/>
            <w:vMerge w:val="continue"/>
            <w:tcBorders>
              <w:left w:val="single" w:color="000000" w:sz="8" w:space="0"/>
              <w:right w:val="single" w:color="000000" w:sz="4" w:space="0"/>
            </w:tcBorders>
            <w:vAlign w:val="center"/>
          </w:tcPr>
          <w:p w14:paraId="5C43E590">
            <w:pPr>
              <w:jc w:val="center"/>
              <w:rPr>
                <w:rFonts w:ascii="Times New Roman" w:hAnsi="Times New Roman" w:eastAsia="仿宋" w:cs="Times New Roman"/>
                <w:kern w:val="2"/>
                <w:lang w:eastAsia="zh-CN"/>
              </w:rPr>
            </w:pPr>
          </w:p>
        </w:tc>
        <w:tc>
          <w:tcPr>
            <w:tcW w:w="857" w:type="dxa"/>
            <w:vMerge w:val="restart"/>
            <w:tcBorders>
              <w:top w:val="single" w:color="auto" w:sz="4" w:space="0"/>
              <w:left w:val="single" w:color="000000" w:sz="4" w:space="0"/>
              <w:right w:val="single" w:color="000000" w:sz="4" w:space="0"/>
            </w:tcBorders>
            <w:vAlign w:val="center"/>
          </w:tcPr>
          <w:p w14:paraId="33CAA96C">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（四）生态环境风险防范</w:t>
            </w:r>
          </w:p>
        </w:tc>
        <w:tc>
          <w:tcPr>
            <w:tcW w:w="712" w:type="dxa"/>
            <w:tcBorders>
              <w:top w:val="single" w:color="000000" w:sz="4" w:space="0"/>
              <w:left w:val="single" w:color="000000" w:sz="4" w:space="0"/>
              <w:bottom w:val="single" w:color="000000" w:sz="4" w:space="0"/>
              <w:right w:val="single" w:color="000000" w:sz="4" w:space="0"/>
            </w:tcBorders>
            <w:vAlign w:val="center"/>
          </w:tcPr>
          <w:p w14:paraId="00D25221">
            <w:pPr>
              <w:jc w:val="center"/>
              <w:rPr>
                <w:rFonts w:ascii="Times New Roman" w:hAnsi="Times New Roman" w:eastAsia="仿宋" w:cs="Times New Roman"/>
                <w:kern w:val="2"/>
              </w:rPr>
            </w:pPr>
            <w:r>
              <w:rPr>
                <w:rFonts w:ascii="Times New Roman" w:hAnsi="Times New Roman" w:eastAsia="仿宋" w:cs="Times New Roman"/>
                <w:kern w:val="2"/>
              </w:rPr>
              <w:t>8</w:t>
            </w:r>
          </w:p>
        </w:tc>
        <w:tc>
          <w:tcPr>
            <w:tcW w:w="1864" w:type="dxa"/>
            <w:tcBorders>
              <w:top w:val="single" w:color="000000" w:sz="4" w:space="0"/>
              <w:left w:val="single" w:color="000000" w:sz="4" w:space="0"/>
              <w:bottom w:val="single" w:color="000000" w:sz="4" w:space="0"/>
              <w:right w:val="single" w:color="000000" w:sz="4" w:space="0"/>
            </w:tcBorders>
            <w:vAlign w:val="center"/>
          </w:tcPr>
          <w:p w14:paraId="1FA570D1">
            <w:pPr>
              <w:jc w:val="center"/>
              <w:rPr>
                <w:rFonts w:ascii="Times New Roman" w:hAnsi="Times New Roman" w:eastAsia="仿宋" w:cs="Times New Roman"/>
                <w:kern w:val="2"/>
              </w:rPr>
            </w:pPr>
            <w:r>
              <w:rPr>
                <w:rFonts w:ascii="Times New Roman" w:hAnsi="Times New Roman" w:eastAsia="仿宋" w:cs="Times New Roman"/>
                <w:kern w:val="2"/>
              </w:rPr>
              <w:t>受污染耕地安全利用率*</w:t>
            </w:r>
          </w:p>
        </w:tc>
        <w:tc>
          <w:tcPr>
            <w:tcW w:w="709" w:type="dxa"/>
            <w:tcBorders>
              <w:top w:val="single" w:color="000000" w:sz="4" w:space="0"/>
              <w:left w:val="single" w:color="000000" w:sz="4" w:space="0"/>
              <w:bottom w:val="single" w:color="000000" w:sz="4" w:space="0"/>
              <w:right w:val="single" w:color="000000" w:sz="4" w:space="0"/>
            </w:tcBorders>
            <w:vAlign w:val="center"/>
          </w:tcPr>
          <w:p w14:paraId="28E5B794">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0FC069D8">
            <w:pPr>
              <w:jc w:val="center"/>
              <w:rPr>
                <w:rFonts w:ascii="Times New Roman" w:hAnsi="Times New Roman" w:eastAsia="仿宋" w:cs="Times New Roman"/>
                <w:kern w:val="2"/>
              </w:rPr>
            </w:pPr>
            <w:r>
              <w:rPr>
                <w:rFonts w:ascii="Times New Roman" w:hAnsi="Times New Roman" w:eastAsia="仿宋" w:cs="Times New Roman"/>
                <w:kern w:val="2"/>
              </w:rPr>
              <w:t>≥93</w:t>
            </w:r>
          </w:p>
        </w:tc>
        <w:tc>
          <w:tcPr>
            <w:tcW w:w="1134" w:type="dxa"/>
            <w:tcBorders>
              <w:top w:val="single" w:color="000000" w:sz="4" w:space="0"/>
              <w:left w:val="single" w:color="000000" w:sz="4" w:space="0"/>
              <w:bottom w:val="single" w:color="000000" w:sz="4" w:space="0"/>
              <w:right w:val="single" w:color="000000" w:sz="4" w:space="0"/>
            </w:tcBorders>
            <w:vAlign w:val="center"/>
          </w:tcPr>
          <w:p w14:paraId="63A940B9">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F24D2B5">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2023年受污染耕地安全利用率为100%，大于规定指标值93%</w:t>
            </w:r>
          </w:p>
        </w:tc>
        <w:tc>
          <w:tcPr>
            <w:tcW w:w="1386" w:type="dxa"/>
            <w:tcBorders>
              <w:top w:val="single" w:color="000000" w:sz="4" w:space="0"/>
              <w:left w:val="single" w:color="000000" w:sz="4" w:space="0"/>
              <w:bottom w:val="single" w:color="000000" w:sz="4" w:space="0"/>
              <w:right w:val="single" w:color="000000" w:sz="4" w:space="0"/>
            </w:tcBorders>
            <w:vAlign w:val="center"/>
          </w:tcPr>
          <w:p w14:paraId="72B455A6">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0B46B0BA">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559" w:type="dxa"/>
            <w:tcBorders>
              <w:top w:val="single" w:color="000000" w:sz="4" w:space="0"/>
              <w:left w:val="single" w:color="000000" w:sz="4" w:space="0"/>
              <w:bottom w:val="single" w:color="000000" w:sz="4" w:space="0"/>
              <w:right w:val="single" w:color="000000" w:sz="4" w:space="0"/>
            </w:tcBorders>
            <w:vAlign w:val="center"/>
          </w:tcPr>
          <w:p w14:paraId="31F686F2">
            <w:pPr>
              <w:jc w:val="center"/>
              <w:rPr>
                <w:rFonts w:ascii="Times New Roman" w:hAnsi="Times New Roman" w:eastAsia="仿宋" w:cs="Times New Roman"/>
                <w:kern w:val="2"/>
              </w:rPr>
            </w:pPr>
            <w:r>
              <w:rPr>
                <w:rFonts w:ascii="Times New Roman" w:hAnsi="Times New Roman" w:eastAsia="仿宋" w:cs="Times New Roman"/>
                <w:kern w:val="2"/>
              </w:rPr>
              <w:t>100</w:t>
            </w:r>
          </w:p>
        </w:tc>
      </w:tr>
      <w:tr w14:paraId="0A306D33">
        <w:tblPrEx>
          <w:tblCellMar>
            <w:top w:w="36" w:type="dxa"/>
            <w:left w:w="5" w:type="dxa"/>
            <w:bottom w:w="38" w:type="dxa"/>
            <w:right w:w="0" w:type="dxa"/>
          </w:tblCellMar>
        </w:tblPrEx>
        <w:trPr>
          <w:trHeight w:val="538" w:hRule="atLeast"/>
          <w:jc w:val="center"/>
        </w:trPr>
        <w:tc>
          <w:tcPr>
            <w:tcW w:w="699" w:type="dxa"/>
            <w:vMerge w:val="continue"/>
            <w:tcBorders>
              <w:left w:val="single" w:color="000000" w:sz="8" w:space="0"/>
              <w:right w:val="single" w:color="000000" w:sz="4" w:space="0"/>
            </w:tcBorders>
            <w:vAlign w:val="center"/>
          </w:tcPr>
          <w:p w14:paraId="7762CF9B">
            <w:pPr>
              <w:rPr>
                <w:rFonts w:ascii="Times New Roman" w:hAnsi="Times New Roman" w:eastAsia="仿宋" w:cs="Times New Roman"/>
                <w:kern w:val="2"/>
              </w:rPr>
            </w:pPr>
          </w:p>
        </w:tc>
        <w:tc>
          <w:tcPr>
            <w:tcW w:w="857" w:type="dxa"/>
            <w:vMerge w:val="continue"/>
            <w:tcBorders>
              <w:left w:val="single" w:color="000000" w:sz="4" w:space="0"/>
              <w:right w:val="single" w:color="000000" w:sz="4" w:space="0"/>
            </w:tcBorders>
            <w:vAlign w:val="center"/>
          </w:tcPr>
          <w:p w14:paraId="24C37561">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97ADEAE">
            <w:pPr>
              <w:jc w:val="center"/>
              <w:rPr>
                <w:rFonts w:ascii="Times New Roman" w:hAnsi="Times New Roman" w:eastAsia="仿宋" w:cs="Times New Roman"/>
                <w:kern w:val="2"/>
              </w:rPr>
            </w:pPr>
            <w:r>
              <w:rPr>
                <w:rFonts w:ascii="Times New Roman" w:hAnsi="Times New Roman" w:eastAsia="仿宋" w:cs="Times New Roman"/>
                <w:kern w:val="2"/>
              </w:rPr>
              <w:t>9</w:t>
            </w:r>
          </w:p>
        </w:tc>
        <w:tc>
          <w:tcPr>
            <w:tcW w:w="1864" w:type="dxa"/>
            <w:tcBorders>
              <w:top w:val="single" w:color="000000" w:sz="4" w:space="0"/>
              <w:left w:val="single" w:color="000000" w:sz="4" w:space="0"/>
              <w:bottom w:val="single" w:color="000000" w:sz="4" w:space="0"/>
              <w:right w:val="single" w:color="000000" w:sz="4" w:space="0"/>
            </w:tcBorders>
            <w:vAlign w:val="center"/>
          </w:tcPr>
          <w:p w14:paraId="79BDAE3F">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重点建设用地安全利用</w:t>
            </w:r>
          </w:p>
        </w:tc>
        <w:tc>
          <w:tcPr>
            <w:tcW w:w="709" w:type="dxa"/>
            <w:tcBorders>
              <w:top w:val="single" w:color="000000" w:sz="4" w:space="0"/>
              <w:left w:val="single" w:color="000000" w:sz="4" w:space="0"/>
              <w:bottom w:val="single" w:color="000000" w:sz="4" w:space="0"/>
              <w:right w:val="single" w:color="000000" w:sz="4" w:space="0"/>
            </w:tcBorders>
            <w:vAlign w:val="center"/>
          </w:tcPr>
          <w:p w14:paraId="7CD29C98">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6CE8135">
            <w:pPr>
              <w:jc w:val="center"/>
              <w:rPr>
                <w:rFonts w:ascii="Times New Roman" w:hAnsi="Times New Roman" w:eastAsia="仿宋" w:cs="Times New Roman"/>
                <w:kern w:val="2"/>
              </w:rPr>
            </w:pPr>
            <w:r>
              <w:rPr>
                <w:rFonts w:ascii="Times New Roman" w:hAnsi="Times New Roman" w:eastAsia="仿宋" w:cs="Times New Roman"/>
                <w:kern w:val="2"/>
              </w:rPr>
              <w:t>有效保障</w:t>
            </w:r>
          </w:p>
        </w:tc>
        <w:tc>
          <w:tcPr>
            <w:tcW w:w="1134" w:type="dxa"/>
            <w:tcBorders>
              <w:top w:val="single" w:color="000000" w:sz="4" w:space="0"/>
              <w:left w:val="single" w:color="000000" w:sz="4" w:space="0"/>
              <w:bottom w:val="single" w:color="000000" w:sz="4" w:space="0"/>
              <w:right w:val="single" w:color="000000" w:sz="4" w:space="0"/>
            </w:tcBorders>
            <w:vAlign w:val="center"/>
          </w:tcPr>
          <w:p w14:paraId="2B3FB030">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4556E46C">
            <w:pPr>
              <w:jc w:val="center"/>
              <w:rPr>
                <w:rFonts w:ascii="Times New Roman" w:hAnsi="Times New Roman" w:eastAsia="仿宋" w:cs="Times New Roman"/>
                <w:kern w:val="2"/>
              </w:rPr>
            </w:pPr>
            <w:r>
              <w:rPr>
                <w:rFonts w:ascii="Times New Roman" w:hAnsi="Times New Roman" w:eastAsia="仿宋" w:cs="Times New Roman"/>
                <w:kern w:val="2"/>
              </w:rPr>
              <w:t>有效保障</w:t>
            </w:r>
          </w:p>
        </w:tc>
        <w:tc>
          <w:tcPr>
            <w:tcW w:w="1386" w:type="dxa"/>
            <w:tcBorders>
              <w:top w:val="single" w:color="000000" w:sz="4" w:space="0"/>
              <w:left w:val="single" w:color="000000" w:sz="4" w:space="0"/>
              <w:bottom w:val="single" w:color="000000" w:sz="4" w:space="0"/>
              <w:right w:val="single" w:color="000000" w:sz="4" w:space="0"/>
            </w:tcBorders>
            <w:vAlign w:val="center"/>
          </w:tcPr>
          <w:p w14:paraId="3185EBE9">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79B819F7">
            <w:pPr>
              <w:jc w:val="center"/>
              <w:rPr>
                <w:rFonts w:ascii="Times New Roman" w:hAnsi="Times New Roman" w:eastAsia="仿宋" w:cs="Times New Roman"/>
                <w:kern w:val="2"/>
              </w:rPr>
            </w:pPr>
            <w:r>
              <w:rPr>
                <w:rFonts w:ascii="Times New Roman" w:hAnsi="Times New Roman" w:eastAsia="仿宋" w:cs="Times New Roman"/>
                <w:kern w:val="2"/>
              </w:rPr>
              <w:t>有效保障</w:t>
            </w:r>
          </w:p>
        </w:tc>
        <w:tc>
          <w:tcPr>
            <w:tcW w:w="1559" w:type="dxa"/>
            <w:tcBorders>
              <w:top w:val="single" w:color="000000" w:sz="4" w:space="0"/>
              <w:left w:val="single" w:color="000000" w:sz="4" w:space="0"/>
              <w:bottom w:val="single" w:color="000000" w:sz="4" w:space="0"/>
              <w:right w:val="single" w:color="000000" w:sz="4" w:space="0"/>
            </w:tcBorders>
            <w:vAlign w:val="center"/>
          </w:tcPr>
          <w:p w14:paraId="26C90E25">
            <w:pPr>
              <w:jc w:val="center"/>
              <w:rPr>
                <w:rFonts w:ascii="Times New Roman" w:hAnsi="Times New Roman" w:eastAsia="仿宋" w:cs="Times New Roman"/>
                <w:kern w:val="2"/>
              </w:rPr>
            </w:pPr>
            <w:r>
              <w:rPr>
                <w:rFonts w:ascii="Times New Roman" w:hAnsi="Times New Roman" w:eastAsia="仿宋" w:cs="Times New Roman"/>
                <w:kern w:val="2"/>
              </w:rPr>
              <w:t>有效保障</w:t>
            </w:r>
          </w:p>
        </w:tc>
      </w:tr>
      <w:tr w14:paraId="633D7446">
        <w:tblPrEx>
          <w:tblCellMar>
            <w:top w:w="36" w:type="dxa"/>
            <w:left w:w="5" w:type="dxa"/>
            <w:bottom w:w="38" w:type="dxa"/>
            <w:right w:w="0" w:type="dxa"/>
          </w:tblCellMar>
        </w:tblPrEx>
        <w:trPr>
          <w:trHeight w:val="821" w:hRule="atLeast"/>
          <w:jc w:val="center"/>
        </w:trPr>
        <w:tc>
          <w:tcPr>
            <w:tcW w:w="699" w:type="dxa"/>
            <w:vMerge w:val="continue"/>
            <w:tcBorders>
              <w:left w:val="single" w:color="000000" w:sz="8" w:space="0"/>
              <w:right w:val="single" w:color="000000" w:sz="4" w:space="0"/>
            </w:tcBorders>
            <w:vAlign w:val="center"/>
          </w:tcPr>
          <w:p w14:paraId="7ED9E323">
            <w:pPr>
              <w:rPr>
                <w:rFonts w:ascii="Times New Roman" w:hAnsi="Times New Roman" w:eastAsia="仿宋" w:cs="Times New Roman"/>
                <w:kern w:val="2"/>
              </w:rPr>
            </w:pPr>
          </w:p>
        </w:tc>
        <w:tc>
          <w:tcPr>
            <w:tcW w:w="857" w:type="dxa"/>
            <w:vMerge w:val="continue"/>
            <w:tcBorders>
              <w:left w:val="single" w:color="000000" w:sz="4" w:space="0"/>
              <w:right w:val="single" w:color="000000" w:sz="4" w:space="0"/>
            </w:tcBorders>
            <w:vAlign w:val="center"/>
          </w:tcPr>
          <w:p w14:paraId="07EBBCF7">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9BCFDF5">
            <w:pPr>
              <w:jc w:val="center"/>
              <w:rPr>
                <w:rFonts w:ascii="Times New Roman" w:hAnsi="Times New Roman" w:eastAsia="仿宋" w:cs="Times New Roman"/>
                <w:kern w:val="2"/>
              </w:rPr>
            </w:pPr>
            <w:r>
              <w:rPr>
                <w:rFonts w:ascii="Times New Roman" w:hAnsi="Times New Roman" w:eastAsia="仿宋" w:cs="Times New Roman"/>
                <w:kern w:val="2"/>
              </w:rPr>
              <w:t>10</w:t>
            </w:r>
          </w:p>
        </w:tc>
        <w:tc>
          <w:tcPr>
            <w:tcW w:w="1864" w:type="dxa"/>
            <w:tcBorders>
              <w:top w:val="single" w:color="000000" w:sz="4" w:space="0"/>
              <w:left w:val="single" w:color="000000" w:sz="4" w:space="0"/>
              <w:bottom w:val="single" w:color="000000" w:sz="4" w:space="0"/>
              <w:right w:val="single" w:color="000000" w:sz="4" w:space="0"/>
            </w:tcBorders>
            <w:vAlign w:val="center"/>
          </w:tcPr>
          <w:p w14:paraId="6267A2FA">
            <w:pPr>
              <w:jc w:val="center"/>
              <w:rPr>
                <w:rFonts w:ascii="Times New Roman" w:hAnsi="Times New Roman" w:eastAsia="仿宋" w:cs="Times New Roman"/>
                <w:kern w:val="2"/>
              </w:rPr>
            </w:pPr>
            <w:r>
              <w:rPr>
                <w:rFonts w:ascii="Times New Roman" w:hAnsi="Times New Roman" w:eastAsia="仿宋" w:cs="Times New Roman"/>
                <w:kern w:val="2"/>
              </w:rPr>
              <w:t>外来物种入侵防控</w:t>
            </w:r>
          </w:p>
        </w:tc>
        <w:tc>
          <w:tcPr>
            <w:tcW w:w="709" w:type="dxa"/>
            <w:tcBorders>
              <w:top w:val="single" w:color="000000" w:sz="4" w:space="0"/>
              <w:left w:val="single" w:color="000000" w:sz="4" w:space="0"/>
              <w:bottom w:val="single" w:color="000000" w:sz="4" w:space="0"/>
              <w:right w:val="single" w:color="000000" w:sz="4" w:space="0"/>
            </w:tcBorders>
            <w:vAlign w:val="center"/>
          </w:tcPr>
          <w:p w14:paraId="3CE43E24">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1B30C572">
            <w:pPr>
              <w:jc w:val="center"/>
              <w:rPr>
                <w:rFonts w:ascii="Times New Roman" w:hAnsi="Times New Roman" w:eastAsia="仿宋" w:cs="Times New Roman"/>
                <w:kern w:val="2"/>
              </w:rPr>
            </w:pPr>
            <w:r>
              <w:rPr>
                <w:rFonts w:ascii="Times New Roman" w:hAnsi="Times New Roman" w:eastAsia="仿宋" w:cs="Times New Roman"/>
                <w:kern w:val="2"/>
              </w:rPr>
              <w:t>有效开展</w:t>
            </w:r>
          </w:p>
        </w:tc>
        <w:tc>
          <w:tcPr>
            <w:tcW w:w="1134" w:type="dxa"/>
            <w:tcBorders>
              <w:top w:val="single" w:color="000000" w:sz="4" w:space="0"/>
              <w:left w:val="single" w:color="000000" w:sz="4" w:space="0"/>
              <w:bottom w:val="single" w:color="000000" w:sz="4" w:space="0"/>
              <w:right w:val="single" w:color="000000" w:sz="4" w:space="0"/>
            </w:tcBorders>
            <w:vAlign w:val="center"/>
          </w:tcPr>
          <w:p w14:paraId="39135C23">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36C28D9F">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2022年9月-2023年9也开展外来入侵脊椎动物外业调查工作</w:t>
            </w:r>
          </w:p>
        </w:tc>
        <w:tc>
          <w:tcPr>
            <w:tcW w:w="1386" w:type="dxa"/>
            <w:tcBorders>
              <w:top w:val="single" w:color="000000" w:sz="4" w:space="0"/>
              <w:left w:val="single" w:color="000000" w:sz="4" w:space="0"/>
              <w:bottom w:val="single" w:color="000000" w:sz="4" w:space="0"/>
              <w:right w:val="single" w:color="000000" w:sz="4" w:space="0"/>
            </w:tcBorders>
            <w:vAlign w:val="center"/>
          </w:tcPr>
          <w:p w14:paraId="60BFDD9C">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3BA58323">
            <w:pPr>
              <w:jc w:val="center"/>
              <w:rPr>
                <w:rFonts w:ascii="Times New Roman" w:hAnsi="Times New Roman" w:eastAsia="仿宋" w:cs="Times New Roman"/>
                <w:kern w:val="2"/>
              </w:rPr>
            </w:pPr>
            <w:r>
              <w:rPr>
                <w:rFonts w:ascii="Times New Roman" w:hAnsi="Times New Roman" w:eastAsia="仿宋" w:cs="Times New Roman"/>
                <w:kern w:val="2"/>
              </w:rPr>
              <w:t>有效开展</w:t>
            </w:r>
          </w:p>
        </w:tc>
        <w:tc>
          <w:tcPr>
            <w:tcW w:w="1559" w:type="dxa"/>
            <w:tcBorders>
              <w:top w:val="single" w:color="000000" w:sz="4" w:space="0"/>
              <w:left w:val="single" w:color="000000" w:sz="4" w:space="0"/>
              <w:bottom w:val="single" w:color="000000" w:sz="4" w:space="0"/>
              <w:right w:val="single" w:color="000000" w:sz="4" w:space="0"/>
            </w:tcBorders>
            <w:vAlign w:val="center"/>
          </w:tcPr>
          <w:p w14:paraId="57A4AAE8">
            <w:pPr>
              <w:jc w:val="center"/>
              <w:rPr>
                <w:rFonts w:ascii="Times New Roman" w:hAnsi="Times New Roman" w:eastAsia="仿宋" w:cs="Times New Roman"/>
                <w:kern w:val="2"/>
              </w:rPr>
            </w:pPr>
            <w:r>
              <w:rPr>
                <w:rFonts w:ascii="Times New Roman" w:hAnsi="Times New Roman" w:eastAsia="仿宋" w:cs="Times New Roman"/>
                <w:kern w:val="2"/>
              </w:rPr>
              <w:t>有效开展</w:t>
            </w:r>
          </w:p>
        </w:tc>
      </w:tr>
      <w:tr w14:paraId="64BAE8A8">
        <w:tblPrEx>
          <w:tblCellMar>
            <w:top w:w="36" w:type="dxa"/>
            <w:left w:w="5" w:type="dxa"/>
            <w:bottom w:w="38" w:type="dxa"/>
            <w:right w:w="0" w:type="dxa"/>
          </w:tblCellMar>
        </w:tblPrEx>
        <w:trPr>
          <w:trHeight w:val="922" w:hRule="atLeast"/>
          <w:jc w:val="center"/>
        </w:trPr>
        <w:tc>
          <w:tcPr>
            <w:tcW w:w="699" w:type="dxa"/>
            <w:vMerge w:val="continue"/>
            <w:tcBorders>
              <w:left w:val="single" w:color="000000" w:sz="8" w:space="0"/>
              <w:bottom w:val="single" w:color="auto" w:sz="4" w:space="0"/>
              <w:right w:val="single" w:color="000000" w:sz="4" w:space="0"/>
            </w:tcBorders>
            <w:vAlign w:val="center"/>
          </w:tcPr>
          <w:p w14:paraId="47A29425">
            <w:pPr>
              <w:rPr>
                <w:rFonts w:ascii="Times New Roman" w:hAnsi="Times New Roman" w:eastAsia="仿宋" w:cs="Times New Roman"/>
                <w:kern w:val="2"/>
              </w:rPr>
            </w:pPr>
          </w:p>
        </w:tc>
        <w:tc>
          <w:tcPr>
            <w:tcW w:w="857" w:type="dxa"/>
            <w:vMerge w:val="continue"/>
            <w:tcBorders>
              <w:left w:val="single" w:color="000000" w:sz="4" w:space="0"/>
              <w:bottom w:val="single" w:color="auto" w:sz="4" w:space="0"/>
              <w:right w:val="single" w:color="000000" w:sz="4" w:space="0"/>
            </w:tcBorders>
            <w:vAlign w:val="center"/>
          </w:tcPr>
          <w:p w14:paraId="431A2CCD">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E359AC0">
            <w:pPr>
              <w:jc w:val="center"/>
              <w:rPr>
                <w:rFonts w:ascii="Times New Roman" w:hAnsi="Times New Roman" w:eastAsia="仿宋" w:cs="Times New Roman"/>
                <w:kern w:val="2"/>
              </w:rPr>
            </w:pPr>
            <w:r>
              <w:rPr>
                <w:rFonts w:ascii="Times New Roman" w:hAnsi="Times New Roman" w:eastAsia="仿宋" w:cs="Times New Roman"/>
                <w:kern w:val="2"/>
              </w:rPr>
              <w:t>11</w:t>
            </w:r>
          </w:p>
        </w:tc>
        <w:tc>
          <w:tcPr>
            <w:tcW w:w="1864" w:type="dxa"/>
            <w:tcBorders>
              <w:top w:val="single" w:color="000000" w:sz="4" w:space="0"/>
              <w:left w:val="single" w:color="000000" w:sz="4" w:space="0"/>
              <w:bottom w:val="single" w:color="000000" w:sz="4" w:space="0"/>
              <w:right w:val="single" w:color="000000" w:sz="4" w:space="0"/>
            </w:tcBorders>
            <w:vAlign w:val="center"/>
          </w:tcPr>
          <w:p w14:paraId="497E8F44">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突发环境事件应急管理机制</w:t>
            </w:r>
          </w:p>
        </w:tc>
        <w:tc>
          <w:tcPr>
            <w:tcW w:w="709" w:type="dxa"/>
            <w:tcBorders>
              <w:top w:val="single" w:color="000000" w:sz="4" w:space="0"/>
              <w:left w:val="single" w:color="000000" w:sz="4" w:space="0"/>
              <w:bottom w:val="single" w:color="000000" w:sz="4" w:space="0"/>
              <w:right w:val="single" w:color="000000" w:sz="4" w:space="0"/>
            </w:tcBorders>
            <w:vAlign w:val="center"/>
          </w:tcPr>
          <w:p w14:paraId="174B038A">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3D384D3">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134" w:type="dxa"/>
            <w:tcBorders>
              <w:top w:val="single" w:color="000000" w:sz="4" w:space="0"/>
              <w:left w:val="single" w:color="000000" w:sz="4" w:space="0"/>
              <w:bottom w:val="single" w:color="000000" w:sz="4" w:space="0"/>
              <w:right w:val="single" w:color="000000" w:sz="4" w:space="0"/>
            </w:tcBorders>
            <w:vAlign w:val="center"/>
          </w:tcPr>
          <w:p w14:paraId="549B5543">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622D789">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已印发《赤峰市翁牛特旗行政区域突发环境事件应急预案》</w:t>
            </w:r>
          </w:p>
        </w:tc>
        <w:tc>
          <w:tcPr>
            <w:tcW w:w="1386" w:type="dxa"/>
            <w:tcBorders>
              <w:top w:val="single" w:color="000000" w:sz="4" w:space="0"/>
              <w:left w:val="single" w:color="000000" w:sz="4" w:space="0"/>
              <w:bottom w:val="single" w:color="000000" w:sz="4" w:space="0"/>
              <w:right w:val="single" w:color="000000" w:sz="4" w:space="0"/>
            </w:tcBorders>
            <w:vAlign w:val="center"/>
          </w:tcPr>
          <w:p w14:paraId="61B387B2">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3F69AB34">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559" w:type="dxa"/>
            <w:tcBorders>
              <w:top w:val="single" w:color="000000" w:sz="4" w:space="0"/>
              <w:left w:val="single" w:color="000000" w:sz="4" w:space="0"/>
              <w:bottom w:val="single" w:color="000000" w:sz="4" w:space="0"/>
              <w:right w:val="single" w:color="000000" w:sz="4" w:space="0"/>
            </w:tcBorders>
            <w:vAlign w:val="center"/>
          </w:tcPr>
          <w:p w14:paraId="53D9C72D">
            <w:pPr>
              <w:jc w:val="center"/>
              <w:rPr>
                <w:rFonts w:ascii="Times New Roman" w:hAnsi="Times New Roman" w:eastAsia="仿宋" w:cs="Times New Roman"/>
                <w:kern w:val="2"/>
              </w:rPr>
            </w:pPr>
            <w:r>
              <w:rPr>
                <w:rFonts w:ascii="Times New Roman" w:hAnsi="Times New Roman" w:eastAsia="仿宋" w:cs="Times New Roman"/>
                <w:kern w:val="2"/>
              </w:rPr>
              <w:t>建立</w:t>
            </w:r>
          </w:p>
        </w:tc>
      </w:tr>
      <w:tr w14:paraId="5C7857CA">
        <w:tblPrEx>
          <w:tblCellMar>
            <w:top w:w="36" w:type="dxa"/>
            <w:left w:w="5" w:type="dxa"/>
            <w:bottom w:w="38" w:type="dxa"/>
            <w:right w:w="0" w:type="dxa"/>
          </w:tblCellMar>
        </w:tblPrEx>
        <w:trPr>
          <w:trHeight w:val="1691" w:hRule="atLeast"/>
          <w:jc w:val="center"/>
        </w:trPr>
        <w:tc>
          <w:tcPr>
            <w:tcW w:w="699" w:type="dxa"/>
            <w:vMerge w:val="restart"/>
            <w:tcBorders>
              <w:top w:val="single" w:color="auto" w:sz="4" w:space="0"/>
              <w:left w:val="single" w:color="000000" w:sz="8" w:space="0"/>
              <w:right w:val="single" w:color="000000" w:sz="4" w:space="0"/>
            </w:tcBorders>
            <w:vAlign w:val="center"/>
          </w:tcPr>
          <w:p w14:paraId="717C50AA">
            <w:pPr>
              <w:jc w:val="center"/>
              <w:rPr>
                <w:rFonts w:ascii="Times New Roman" w:hAnsi="Times New Roman" w:eastAsia="仿宋" w:cs="Times New Roman"/>
                <w:kern w:val="2"/>
              </w:rPr>
            </w:pPr>
            <w:r>
              <w:rPr>
                <w:rFonts w:ascii="Times New Roman" w:hAnsi="Times New Roman" w:eastAsia="仿宋" w:cs="Times New Roman"/>
                <w:kern w:val="2"/>
              </w:rPr>
              <w:t>生态</w:t>
            </w:r>
          </w:p>
          <w:p w14:paraId="492F8F94">
            <w:pPr>
              <w:jc w:val="center"/>
              <w:rPr>
                <w:rFonts w:ascii="Times New Roman" w:hAnsi="Times New Roman" w:eastAsia="仿宋" w:cs="Times New Roman"/>
                <w:kern w:val="2"/>
              </w:rPr>
            </w:pPr>
            <w:r>
              <w:rPr>
                <w:rFonts w:ascii="Times New Roman" w:hAnsi="Times New Roman" w:eastAsia="仿宋" w:cs="Times New Roman"/>
                <w:kern w:val="2"/>
              </w:rPr>
              <w:t>经济</w:t>
            </w:r>
          </w:p>
        </w:tc>
        <w:tc>
          <w:tcPr>
            <w:tcW w:w="857" w:type="dxa"/>
            <w:vMerge w:val="restart"/>
            <w:tcBorders>
              <w:top w:val="single" w:color="auto" w:sz="4" w:space="0"/>
              <w:left w:val="single" w:color="000000" w:sz="4" w:space="0"/>
              <w:right w:val="single" w:color="000000" w:sz="4" w:space="0"/>
            </w:tcBorders>
            <w:vAlign w:val="center"/>
          </w:tcPr>
          <w:p w14:paraId="40A40A7D">
            <w:pPr>
              <w:rPr>
                <w:rFonts w:ascii="Times New Roman" w:hAnsi="Times New Roman" w:eastAsia="仿宋" w:cs="Times New Roman"/>
                <w:kern w:val="2"/>
                <w:lang w:eastAsia="zh-CN"/>
              </w:rPr>
            </w:pPr>
            <w:r>
              <w:rPr>
                <w:rFonts w:ascii="Times New Roman" w:hAnsi="Times New Roman" w:eastAsia="仿宋" w:cs="Times New Roman"/>
                <w:kern w:val="2"/>
                <w:lang w:eastAsia="zh-CN"/>
              </w:rPr>
              <w:t>（五）节能减排降碳增效</w:t>
            </w:r>
          </w:p>
        </w:tc>
        <w:tc>
          <w:tcPr>
            <w:tcW w:w="712" w:type="dxa"/>
            <w:tcBorders>
              <w:top w:val="single" w:color="000000" w:sz="4" w:space="0"/>
              <w:left w:val="single" w:color="000000" w:sz="4" w:space="0"/>
              <w:bottom w:val="single" w:color="auto" w:sz="4" w:space="0"/>
              <w:right w:val="single" w:color="000000" w:sz="4" w:space="0"/>
            </w:tcBorders>
            <w:vAlign w:val="center"/>
          </w:tcPr>
          <w:p w14:paraId="70334290">
            <w:pPr>
              <w:jc w:val="center"/>
              <w:rPr>
                <w:rFonts w:ascii="Times New Roman" w:hAnsi="Times New Roman" w:eastAsia="仿宋" w:cs="Times New Roman"/>
                <w:kern w:val="2"/>
              </w:rPr>
            </w:pPr>
            <w:r>
              <w:rPr>
                <w:rFonts w:ascii="Times New Roman" w:hAnsi="Times New Roman" w:eastAsia="仿宋" w:cs="Times New Roman"/>
                <w:kern w:val="2"/>
              </w:rPr>
              <w:t>12</w:t>
            </w:r>
          </w:p>
        </w:tc>
        <w:tc>
          <w:tcPr>
            <w:tcW w:w="1864" w:type="dxa"/>
            <w:tcBorders>
              <w:top w:val="single" w:color="000000" w:sz="4" w:space="0"/>
              <w:left w:val="single" w:color="000000" w:sz="4" w:space="0"/>
              <w:bottom w:val="single" w:color="auto" w:sz="4" w:space="0"/>
              <w:right w:val="single" w:color="000000" w:sz="4" w:space="0"/>
            </w:tcBorders>
            <w:vAlign w:val="center"/>
          </w:tcPr>
          <w:p w14:paraId="798D7064">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新增和更新公共汽电车中新能源和清洁能源车辆比例</w:t>
            </w:r>
          </w:p>
        </w:tc>
        <w:tc>
          <w:tcPr>
            <w:tcW w:w="709" w:type="dxa"/>
            <w:tcBorders>
              <w:top w:val="single" w:color="000000" w:sz="4" w:space="0"/>
              <w:left w:val="single" w:color="000000" w:sz="4" w:space="0"/>
              <w:bottom w:val="single" w:color="auto" w:sz="4" w:space="0"/>
              <w:right w:val="single" w:color="000000" w:sz="4" w:space="0"/>
            </w:tcBorders>
            <w:vAlign w:val="center"/>
          </w:tcPr>
          <w:p w14:paraId="421DA3B0">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auto" w:sz="4" w:space="0"/>
              <w:right w:val="single" w:color="000000" w:sz="4" w:space="0"/>
            </w:tcBorders>
            <w:vAlign w:val="center"/>
          </w:tcPr>
          <w:p w14:paraId="061D7E6B">
            <w:pPr>
              <w:jc w:val="center"/>
              <w:rPr>
                <w:rFonts w:ascii="Times New Roman" w:hAnsi="Times New Roman" w:eastAsia="仿宋" w:cs="Times New Roman"/>
                <w:kern w:val="2"/>
              </w:rPr>
            </w:pPr>
            <w:r>
              <w:rPr>
                <w:rFonts w:ascii="Times New Roman" w:hAnsi="Times New Roman" w:eastAsia="仿宋" w:cs="Times New Roman"/>
                <w:kern w:val="2"/>
              </w:rPr>
              <w:t>≥80</w:t>
            </w:r>
          </w:p>
        </w:tc>
        <w:tc>
          <w:tcPr>
            <w:tcW w:w="1134" w:type="dxa"/>
            <w:tcBorders>
              <w:top w:val="single" w:color="000000" w:sz="4" w:space="0"/>
              <w:left w:val="single" w:color="000000" w:sz="4" w:space="0"/>
              <w:bottom w:val="single" w:color="auto" w:sz="4" w:space="0"/>
              <w:right w:val="single" w:color="000000" w:sz="4" w:space="0"/>
            </w:tcBorders>
            <w:vAlign w:val="center"/>
          </w:tcPr>
          <w:p w14:paraId="34877C6E">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auto" w:sz="4" w:space="0"/>
              <w:right w:val="single" w:color="000000" w:sz="4" w:space="0"/>
            </w:tcBorders>
            <w:vAlign w:val="center"/>
          </w:tcPr>
          <w:p w14:paraId="4CBD4C38">
            <w:pPr>
              <w:jc w:val="both"/>
              <w:rPr>
                <w:rFonts w:ascii="Times New Roman" w:hAnsi="Times New Roman" w:eastAsia="仿宋" w:cs="Times New Roman"/>
                <w:spacing w:val="-12"/>
                <w:kern w:val="2"/>
                <w:lang w:eastAsia="zh-CN"/>
              </w:rPr>
            </w:pPr>
            <w:r>
              <w:rPr>
                <w:rFonts w:ascii="Times New Roman" w:hAnsi="Times New Roman" w:eastAsia="仿宋" w:cs="Times New Roman"/>
                <w:kern w:val="2"/>
                <w:lang w:eastAsia="zh-CN"/>
              </w:rPr>
              <w:t>2023年翁牛特旗新增和更新公共汽电车为30辆，其中新能源和清洁能源车30辆，新增和更新公共汽电车中新能源和清洁能源车辆比例为100%，大于规定指标值80%</w:t>
            </w:r>
          </w:p>
        </w:tc>
        <w:tc>
          <w:tcPr>
            <w:tcW w:w="1386" w:type="dxa"/>
            <w:tcBorders>
              <w:top w:val="single" w:color="000000" w:sz="4" w:space="0"/>
              <w:left w:val="single" w:color="000000" w:sz="4" w:space="0"/>
              <w:bottom w:val="single" w:color="auto" w:sz="4" w:space="0"/>
              <w:right w:val="single" w:color="000000" w:sz="4" w:space="0"/>
            </w:tcBorders>
            <w:vAlign w:val="center"/>
          </w:tcPr>
          <w:p w14:paraId="1521EC65">
            <w:pPr>
              <w:jc w:val="center"/>
              <w:rPr>
                <w:rFonts w:ascii="Times New Roman" w:hAnsi="Times New Roman" w:eastAsia="仿宋" w:cs="Times New Roman"/>
                <w:kern w:val="2"/>
              </w:rPr>
            </w:pPr>
            <w:bookmarkStart w:id="132" w:name="OLE_LINK79"/>
            <w:bookmarkStart w:id="133" w:name="OLE_LINK80"/>
            <w:r>
              <w:rPr>
                <w:rFonts w:ascii="Times New Roman" w:hAnsi="Times New Roman" w:eastAsia="仿宋" w:cs="Times New Roman"/>
                <w:kern w:val="2"/>
              </w:rPr>
              <w:t>达标</w:t>
            </w:r>
            <w:bookmarkEnd w:id="132"/>
            <w:bookmarkEnd w:id="133"/>
          </w:p>
        </w:tc>
        <w:tc>
          <w:tcPr>
            <w:tcW w:w="1276" w:type="dxa"/>
            <w:tcBorders>
              <w:top w:val="single" w:color="000000" w:sz="4" w:space="0"/>
              <w:left w:val="single" w:color="000000" w:sz="4" w:space="0"/>
              <w:bottom w:val="single" w:color="auto" w:sz="4" w:space="0"/>
              <w:right w:val="single" w:color="000000" w:sz="4" w:space="0"/>
            </w:tcBorders>
            <w:vAlign w:val="center"/>
          </w:tcPr>
          <w:p w14:paraId="51768F52">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559" w:type="dxa"/>
            <w:tcBorders>
              <w:top w:val="single" w:color="000000" w:sz="4" w:space="0"/>
              <w:left w:val="single" w:color="000000" w:sz="4" w:space="0"/>
              <w:bottom w:val="single" w:color="auto" w:sz="4" w:space="0"/>
              <w:right w:val="single" w:color="000000" w:sz="4" w:space="0"/>
            </w:tcBorders>
            <w:vAlign w:val="center"/>
          </w:tcPr>
          <w:p w14:paraId="4C651235">
            <w:pPr>
              <w:jc w:val="center"/>
              <w:rPr>
                <w:rFonts w:ascii="Times New Roman" w:hAnsi="Times New Roman" w:eastAsia="仿宋" w:cs="Times New Roman"/>
                <w:kern w:val="2"/>
              </w:rPr>
            </w:pPr>
            <w:r>
              <w:rPr>
                <w:rFonts w:ascii="Times New Roman" w:hAnsi="Times New Roman" w:eastAsia="仿宋" w:cs="Times New Roman"/>
                <w:kern w:val="2"/>
              </w:rPr>
              <w:t>100</w:t>
            </w:r>
          </w:p>
        </w:tc>
      </w:tr>
      <w:tr w14:paraId="3CD2777B">
        <w:tblPrEx>
          <w:tblCellMar>
            <w:top w:w="36" w:type="dxa"/>
            <w:left w:w="5" w:type="dxa"/>
            <w:bottom w:w="38" w:type="dxa"/>
            <w:right w:w="0" w:type="dxa"/>
          </w:tblCellMar>
        </w:tblPrEx>
        <w:trPr>
          <w:trHeight w:val="1052" w:hRule="atLeast"/>
          <w:jc w:val="center"/>
        </w:trPr>
        <w:tc>
          <w:tcPr>
            <w:tcW w:w="699" w:type="dxa"/>
            <w:vMerge w:val="continue"/>
            <w:tcBorders>
              <w:left w:val="single" w:color="000000" w:sz="8" w:space="0"/>
              <w:right w:val="single" w:color="000000" w:sz="4" w:space="0"/>
            </w:tcBorders>
            <w:vAlign w:val="center"/>
          </w:tcPr>
          <w:p w14:paraId="0FCCC6BD">
            <w:pPr>
              <w:jc w:val="center"/>
              <w:rPr>
                <w:rFonts w:ascii="Times New Roman" w:hAnsi="Times New Roman" w:eastAsia="仿宋" w:cs="Times New Roman"/>
                <w:kern w:val="2"/>
              </w:rPr>
            </w:pPr>
            <w:bookmarkStart w:id="134" w:name="OLE_LINK74"/>
            <w:bookmarkStart w:id="135" w:name="OLE_LINK75"/>
          </w:p>
        </w:tc>
        <w:tc>
          <w:tcPr>
            <w:tcW w:w="857" w:type="dxa"/>
            <w:vMerge w:val="continue"/>
            <w:tcBorders>
              <w:left w:val="single" w:color="000000" w:sz="4" w:space="0"/>
              <w:bottom w:val="single" w:color="auto" w:sz="4" w:space="0"/>
              <w:right w:val="single" w:color="000000" w:sz="4" w:space="0"/>
            </w:tcBorders>
            <w:vAlign w:val="center"/>
          </w:tcPr>
          <w:p w14:paraId="3DF0F8C8">
            <w:pPr>
              <w:jc w:val="center"/>
              <w:rPr>
                <w:rFonts w:ascii="Times New Roman" w:hAnsi="Times New Roman" w:eastAsia="仿宋" w:cs="Times New Roman"/>
                <w:kern w:val="2"/>
              </w:rPr>
            </w:pPr>
          </w:p>
        </w:tc>
        <w:tc>
          <w:tcPr>
            <w:tcW w:w="712" w:type="dxa"/>
            <w:tcBorders>
              <w:top w:val="single" w:color="000000" w:sz="4" w:space="0"/>
              <w:left w:val="single" w:color="000000" w:sz="4" w:space="0"/>
              <w:bottom w:val="single" w:color="auto" w:sz="4" w:space="0"/>
              <w:right w:val="single" w:color="000000" w:sz="4" w:space="0"/>
            </w:tcBorders>
            <w:vAlign w:val="center"/>
          </w:tcPr>
          <w:p w14:paraId="6084EC5E">
            <w:pPr>
              <w:jc w:val="center"/>
              <w:rPr>
                <w:rFonts w:ascii="Times New Roman" w:hAnsi="Times New Roman" w:eastAsia="仿宋" w:cs="Times New Roman"/>
                <w:kern w:val="2"/>
              </w:rPr>
            </w:pPr>
            <w:r>
              <w:rPr>
                <w:rFonts w:ascii="Times New Roman" w:hAnsi="Times New Roman" w:eastAsia="仿宋" w:cs="Times New Roman"/>
                <w:kern w:val="2"/>
              </w:rPr>
              <w:t>13</w:t>
            </w:r>
          </w:p>
        </w:tc>
        <w:tc>
          <w:tcPr>
            <w:tcW w:w="1864" w:type="dxa"/>
            <w:tcBorders>
              <w:top w:val="single" w:color="000000" w:sz="4" w:space="0"/>
              <w:left w:val="single" w:color="000000" w:sz="4" w:space="0"/>
              <w:bottom w:val="single" w:color="auto" w:sz="4" w:space="0"/>
              <w:right w:val="single" w:color="000000" w:sz="4" w:space="0"/>
            </w:tcBorders>
            <w:vAlign w:val="center"/>
          </w:tcPr>
          <w:p w14:paraId="666CB893">
            <w:pPr>
              <w:jc w:val="center"/>
              <w:rPr>
                <w:rFonts w:ascii="Times New Roman" w:hAnsi="Times New Roman" w:eastAsia="仿宋" w:cs="Times New Roman"/>
                <w:kern w:val="2"/>
                <w:lang w:eastAsia="zh-CN"/>
              </w:rPr>
            </w:pPr>
            <w:bookmarkStart w:id="136" w:name="OLE_LINK78"/>
            <w:r>
              <w:rPr>
                <w:rFonts w:ascii="Times New Roman" w:hAnsi="Times New Roman" w:eastAsia="仿宋" w:cs="Times New Roman"/>
                <w:kern w:val="2"/>
                <w:lang w:eastAsia="zh-CN"/>
              </w:rPr>
              <w:t>万元工业增加值用水量下降率</w:t>
            </w:r>
            <w:bookmarkEnd w:id="136"/>
          </w:p>
        </w:tc>
        <w:tc>
          <w:tcPr>
            <w:tcW w:w="709" w:type="dxa"/>
            <w:tcBorders>
              <w:top w:val="single" w:color="000000" w:sz="4" w:space="0"/>
              <w:left w:val="single" w:color="000000" w:sz="4" w:space="0"/>
              <w:bottom w:val="single" w:color="auto" w:sz="4" w:space="0"/>
              <w:right w:val="single" w:color="000000" w:sz="4" w:space="0"/>
            </w:tcBorders>
            <w:vAlign w:val="center"/>
          </w:tcPr>
          <w:p w14:paraId="73F1C4DA">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auto" w:sz="4" w:space="0"/>
              <w:right w:val="single" w:color="000000" w:sz="4" w:space="0"/>
            </w:tcBorders>
            <w:vAlign w:val="center"/>
          </w:tcPr>
          <w:p w14:paraId="1D19DD27">
            <w:pPr>
              <w:jc w:val="center"/>
              <w:rPr>
                <w:rFonts w:ascii="Times New Roman" w:hAnsi="Times New Roman" w:eastAsia="仿宋" w:cs="Times New Roman"/>
                <w:kern w:val="2"/>
                <w:lang w:eastAsia="zh-CN"/>
              </w:rPr>
            </w:pPr>
            <w:bookmarkStart w:id="137" w:name="OLE_LINK128"/>
            <w:bookmarkStart w:id="138" w:name="OLE_LINK129"/>
            <w:r>
              <w:rPr>
                <w:rFonts w:ascii="Times New Roman" w:hAnsi="Times New Roman" w:eastAsia="仿宋" w:cs="Times New Roman"/>
                <w:kern w:val="2"/>
                <w:lang w:eastAsia="zh-CN"/>
              </w:rPr>
              <w:t>完成上级规定的考核任务</w:t>
            </w:r>
            <w:bookmarkEnd w:id="137"/>
            <w:bookmarkEnd w:id="138"/>
          </w:p>
        </w:tc>
        <w:tc>
          <w:tcPr>
            <w:tcW w:w="1134" w:type="dxa"/>
            <w:tcBorders>
              <w:top w:val="single" w:color="000000" w:sz="4" w:space="0"/>
              <w:left w:val="single" w:color="000000" w:sz="4" w:space="0"/>
              <w:bottom w:val="single" w:color="auto" w:sz="4" w:space="0"/>
              <w:right w:val="single" w:color="000000" w:sz="4" w:space="0"/>
            </w:tcBorders>
            <w:vAlign w:val="center"/>
          </w:tcPr>
          <w:p w14:paraId="0445E1AF">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auto" w:sz="4" w:space="0"/>
              <w:right w:val="single" w:color="000000" w:sz="4" w:space="0"/>
            </w:tcBorders>
            <w:vAlign w:val="center"/>
          </w:tcPr>
          <w:p w14:paraId="07EFB91D">
            <w:pPr>
              <w:rPr>
                <w:rFonts w:ascii="Times New Roman" w:hAnsi="Times New Roman" w:eastAsia="仿宋" w:cs="Times New Roman"/>
                <w:kern w:val="2"/>
                <w:lang w:eastAsia="zh-CN"/>
              </w:rPr>
            </w:pPr>
            <w:r>
              <w:rPr>
                <w:rFonts w:ascii="Times New Roman" w:hAnsi="Times New Roman" w:eastAsia="仿宋" w:cs="Times New Roman"/>
                <w:lang w:eastAsia="zh-CN"/>
              </w:rPr>
              <w:t>考核指标为较2020年下降10%-16%不等，2023翁牛特旗</w:t>
            </w:r>
            <w:r>
              <w:rPr>
                <w:rFonts w:ascii="Times New Roman" w:hAnsi="Times New Roman" w:eastAsia="仿宋" w:cs="Times New Roman"/>
                <w:kern w:val="2"/>
                <w:lang w:eastAsia="zh-CN"/>
              </w:rPr>
              <w:t>万元工业增加值用水量下降率为44.04%</w:t>
            </w:r>
          </w:p>
        </w:tc>
        <w:tc>
          <w:tcPr>
            <w:tcW w:w="1386" w:type="dxa"/>
            <w:tcBorders>
              <w:top w:val="single" w:color="000000" w:sz="4" w:space="0"/>
              <w:left w:val="single" w:color="000000" w:sz="4" w:space="0"/>
              <w:bottom w:val="single" w:color="auto" w:sz="4" w:space="0"/>
              <w:right w:val="single" w:color="000000" w:sz="4" w:space="0"/>
            </w:tcBorders>
            <w:vAlign w:val="center"/>
          </w:tcPr>
          <w:p w14:paraId="129D4C67">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auto" w:sz="4" w:space="0"/>
              <w:right w:val="single" w:color="000000" w:sz="4" w:space="0"/>
            </w:tcBorders>
            <w:vAlign w:val="center"/>
          </w:tcPr>
          <w:p w14:paraId="3788CE1B">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559" w:type="dxa"/>
            <w:tcBorders>
              <w:top w:val="single" w:color="000000" w:sz="4" w:space="0"/>
              <w:left w:val="single" w:color="000000" w:sz="4" w:space="0"/>
              <w:bottom w:val="single" w:color="auto" w:sz="4" w:space="0"/>
              <w:right w:val="single" w:color="000000" w:sz="4" w:space="0"/>
            </w:tcBorders>
            <w:vAlign w:val="center"/>
          </w:tcPr>
          <w:p w14:paraId="1657AE9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r>
      <w:tr w14:paraId="3F914094">
        <w:tblPrEx>
          <w:tblCellMar>
            <w:top w:w="36" w:type="dxa"/>
            <w:left w:w="5" w:type="dxa"/>
            <w:bottom w:w="38" w:type="dxa"/>
            <w:right w:w="0" w:type="dxa"/>
          </w:tblCellMar>
        </w:tblPrEx>
        <w:trPr>
          <w:trHeight w:val="767" w:hRule="atLeast"/>
          <w:jc w:val="center"/>
        </w:trPr>
        <w:tc>
          <w:tcPr>
            <w:tcW w:w="699" w:type="dxa"/>
            <w:vMerge w:val="continue"/>
            <w:tcBorders>
              <w:left w:val="single" w:color="000000" w:sz="8" w:space="0"/>
              <w:right w:val="single" w:color="000000" w:sz="4" w:space="0"/>
            </w:tcBorders>
            <w:vAlign w:val="center"/>
          </w:tcPr>
          <w:p w14:paraId="713E773B">
            <w:pPr>
              <w:jc w:val="center"/>
              <w:rPr>
                <w:rFonts w:ascii="Times New Roman" w:hAnsi="Times New Roman" w:eastAsia="仿宋" w:cs="Times New Roman"/>
                <w:kern w:val="2"/>
                <w:lang w:eastAsia="zh-CN"/>
              </w:rPr>
            </w:pPr>
          </w:p>
        </w:tc>
        <w:tc>
          <w:tcPr>
            <w:tcW w:w="857" w:type="dxa"/>
            <w:vMerge w:val="restart"/>
            <w:tcBorders>
              <w:top w:val="single" w:color="auto" w:sz="4" w:space="0"/>
              <w:left w:val="single" w:color="000000" w:sz="4" w:space="0"/>
              <w:right w:val="single" w:color="000000" w:sz="4" w:space="0"/>
            </w:tcBorders>
            <w:vAlign w:val="center"/>
          </w:tcPr>
          <w:p w14:paraId="04711291">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（六）资源节约与利用</w:t>
            </w:r>
          </w:p>
        </w:tc>
        <w:tc>
          <w:tcPr>
            <w:tcW w:w="712" w:type="dxa"/>
            <w:tcBorders>
              <w:top w:val="single" w:color="auto" w:sz="4" w:space="0"/>
              <w:left w:val="single" w:color="000000" w:sz="4" w:space="0"/>
              <w:bottom w:val="single" w:color="000000" w:sz="4" w:space="0"/>
              <w:right w:val="single" w:color="000000" w:sz="4" w:space="0"/>
            </w:tcBorders>
            <w:vAlign w:val="center"/>
          </w:tcPr>
          <w:p w14:paraId="00E1E92C">
            <w:pPr>
              <w:jc w:val="center"/>
              <w:rPr>
                <w:rFonts w:ascii="Times New Roman" w:hAnsi="Times New Roman" w:eastAsia="仿宋" w:cs="Times New Roman"/>
                <w:kern w:val="2"/>
              </w:rPr>
            </w:pPr>
            <w:r>
              <w:rPr>
                <w:rFonts w:ascii="Times New Roman" w:hAnsi="Times New Roman" w:eastAsia="仿宋" w:cs="Times New Roman"/>
                <w:kern w:val="2"/>
              </w:rPr>
              <w:t>14</w:t>
            </w:r>
          </w:p>
        </w:tc>
        <w:tc>
          <w:tcPr>
            <w:tcW w:w="1864" w:type="dxa"/>
            <w:tcBorders>
              <w:top w:val="single" w:color="auto" w:sz="4" w:space="0"/>
              <w:left w:val="single" w:color="000000" w:sz="4" w:space="0"/>
              <w:bottom w:val="single" w:color="000000" w:sz="4" w:space="0"/>
              <w:right w:val="single" w:color="000000" w:sz="4" w:space="0"/>
            </w:tcBorders>
            <w:vAlign w:val="center"/>
          </w:tcPr>
          <w:p w14:paraId="75BADBB4">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农田灌溉水有效利用系数*</w:t>
            </w:r>
          </w:p>
        </w:tc>
        <w:tc>
          <w:tcPr>
            <w:tcW w:w="709" w:type="dxa"/>
            <w:tcBorders>
              <w:top w:val="single" w:color="auto" w:sz="4" w:space="0"/>
              <w:left w:val="single" w:color="000000" w:sz="4" w:space="0"/>
              <w:bottom w:val="single" w:color="000000" w:sz="4" w:space="0"/>
              <w:right w:val="single" w:color="000000" w:sz="4" w:space="0"/>
            </w:tcBorders>
            <w:vAlign w:val="center"/>
          </w:tcPr>
          <w:p w14:paraId="1C8B745E">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auto" w:sz="4" w:space="0"/>
              <w:left w:val="single" w:color="000000" w:sz="4" w:space="0"/>
              <w:bottom w:val="single" w:color="000000" w:sz="4" w:space="0"/>
              <w:right w:val="single" w:color="000000" w:sz="4" w:space="0"/>
            </w:tcBorders>
            <w:vAlign w:val="center"/>
          </w:tcPr>
          <w:p w14:paraId="2CFBEF6D">
            <w:pPr>
              <w:ind w:right="-15"/>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134" w:type="dxa"/>
            <w:tcBorders>
              <w:top w:val="single" w:color="auto" w:sz="4" w:space="0"/>
              <w:left w:val="single" w:color="000000" w:sz="4" w:space="0"/>
              <w:bottom w:val="single" w:color="000000" w:sz="4" w:space="0"/>
              <w:right w:val="single" w:color="000000" w:sz="4" w:space="0"/>
            </w:tcBorders>
            <w:vAlign w:val="center"/>
          </w:tcPr>
          <w:p w14:paraId="581CE1B1">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auto" w:sz="4" w:space="0"/>
              <w:left w:val="single" w:color="000000" w:sz="4" w:space="0"/>
              <w:bottom w:val="single" w:color="000000" w:sz="4" w:space="0"/>
              <w:right w:val="single" w:color="000000" w:sz="4" w:space="0"/>
            </w:tcBorders>
            <w:vAlign w:val="center"/>
          </w:tcPr>
          <w:p w14:paraId="670B2CDF">
            <w:pPr>
              <w:rPr>
                <w:rFonts w:ascii="Times New Roman" w:hAnsi="Times New Roman" w:eastAsia="仿宋" w:cs="Times New Roman"/>
                <w:kern w:val="2"/>
                <w:lang w:eastAsia="zh-CN"/>
              </w:rPr>
            </w:pPr>
            <w:r>
              <w:rPr>
                <w:rFonts w:ascii="Times New Roman" w:hAnsi="Times New Roman" w:eastAsia="仿宋" w:cs="Times New Roman"/>
                <w:kern w:val="2"/>
                <w:lang w:eastAsia="zh-CN"/>
              </w:rPr>
              <w:t>翁牛特旗</w:t>
            </w:r>
            <w:bookmarkStart w:id="139" w:name="OLE_LINK89"/>
            <w:bookmarkStart w:id="140" w:name="OLE_LINK90"/>
            <w:r>
              <w:rPr>
                <w:rFonts w:ascii="Times New Roman" w:hAnsi="Times New Roman" w:eastAsia="仿宋" w:cs="Times New Roman"/>
                <w:kern w:val="2"/>
                <w:lang w:eastAsia="zh-CN"/>
              </w:rPr>
              <w:t>农田灌溉水有效利用系数</w:t>
            </w:r>
            <w:bookmarkEnd w:id="139"/>
            <w:bookmarkEnd w:id="140"/>
            <w:r>
              <w:rPr>
                <w:rFonts w:ascii="Times New Roman" w:hAnsi="Times New Roman" w:eastAsia="仿宋" w:cs="Times New Roman"/>
                <w:kern w:val="2"/>
                <w:lang w:eastAsia="zh-CN"/>
              </w:rPr>
              <w:t>考核指标为63.1%，2023为63.12%。</w:t>
            </w:r>
          </w:p>
        </w:tc>
        <w:tc>
          <w:tcPr>
            <w:tcW w:w="1386" w:type="dxa"/>
            <w:tcBorders>
              <w:top w:val="single" w:color="auto" w:sz="4" w:space="0"/>
              <w:left w:val="single" w:color="000000" w:sz="4" w:space="0"/>
              <w:bottom w:val="single" w:color="000000" w:sz="4" w:space="0"/>
              <w:right w:val="single" w:color="000000" w:sz="4" w:space="0"/>
            </w:tcBorders>
            <w:vAlign w:val="center"/>
          </w:tcPr>
          <w:p w14:paraId="32C56498">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auto" w:sz="4" w:space="0"/>
              <w:left w:val="single" w:color="000000" w:sz="4" w:space="0"/>
              <w:bottom w:val="single" w:color="000000" w:sz="4" w:space="0"/>
              <w:right w:val="single" w:color="000000" w:sz="4" w:space="0"/>
            </w:tcBorders>
            <w:vAlign w:val="center"/>
          </w:tcPr>
          <w:p w14:paraId="59B0DF2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559" w:type="dxa"/>
            <w:tcBorders>
              <w:top w:val="single" w:color="auto" w:sz="4" w:space="0"/>
              <w:left w:val="single" w:color="000000" w:sz="4" w:space="0"/>
              <w:bottom w:val="single" w:color="000000" w:sz="4" w:space="0"/>
              <w:right w:val="single" w:color="000000" w:sz="4" w:space="0"/>
            </w:tcBorders>
            <w:vAlign w:val="center"/>
          </w:tcPr>
          <w:p w14:paraId="716EB7E2">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r>
      <w:bookmarkEnd w:id="134"/>
      <w:bookmarkEnd w:id="135"/>
      <w:tr w14:paraId="7CC920E5">
        <w:tblPrEx>
          <w:tblCellMar>
            <w:top w:w="36" w:type="dxa"/>
            <w:left w:w="5" w:type="dxa"/>
            <w:bottom w:w="38" w:type="dxa"/>
            <w:right w:w="0" w:type="dxa"/>
          </w:tblCellMar>
        </w:tblPrEx>
        <w:trPr>
          <w:trHeight w:val="430" w:hRule="atLeast"/>
          <w:jc w:val="center"/>
        </w:trPr>
        <w:tc>
          <w:tcPr>
            <w:tcW w:w="699" w:type="dxa"/>
            <w:vMerge w:val="continue"/>
            <w:tcBorders>
              <w:left w:val="single" w:color="000000" w:sz="8" w:space="0"/>
              <w:right w:val="single" w:color="000000" w:sz="4" w:space="0"/>
            </w:tcBorders>
            <w:vAlign w:val="center"/>
          </w:tcPr>
          <w:p w14:paraId="426741C3">
            <w:pPr>
              <w:rPr>
                <w:rFonts w:ascii="Times New Roman" w:hAnsi="Times New Roman" w:eastAsia="仿宋" w:cs="Times New Roman"/>
                <w:kern w:val="2"/>
                <w:lang w:eastAsia="zh-CN"/>
              </w:rPr>
            </w:pPr>
          </w:p>
        </w:tc>
        <w:tc>
          <w:tcPr>
            <w:tcW w:w="857" w:type="dxa"/>
            <w:vMerge w:val="continue"/>
            <w:tcBorders>
              <w:left w:val="single" w:color="000000" w:sz="4" w:space="0"/>
              <w:right w:val="single" w:color="000000" w:sz="4" w:space="0"/>
            </w:tcBorders>
            <w:vAlign w:val="center"/>
          </w:tcPr>
          <w:p w14:paraId="0E52A112">
            <w:pPr>
              <w:jc w:val="center"/>
              <w:rPr>
                <w:rFonts w:ascii="Times New Roman" w:hAnsi="Times New Roman" w:eastAsia="仿宋" w:cs="Times New Roman"/>
                <w:kern w:val="2"/>
                <w:lang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2F9F11B">
            <w:pPr>
              <w:jc w:val="center"/>
              <w:rPr>
                <w:rFonts w:ascii="Times New Roman" w:hAnsi="Times New Roman" w:eastAsia="仿宋" w:cs="Times New Roman"/>
                <w:kern w:val="2"/>
              </w:rPr>
            </w:pPr>
            <w:r>
              <w:rPr>
                <w:rFonts w:ascii="Times New Roman" w:hAnsi="Times New Roman" w:eastAsia="仿宋" w:cs="Times New Roman"/>
                <w:kern w:val="2"/>
              </w:rPr>
              <w:t>15</w:t>
            </w:r>
          </w:p>
        </w:tc>
        <w:tc>
          <w:tcPr>
            <w:tcW w:w="1864" w:type="dxa"/>
            <w:tcBorders>
              <w:top w:val="single" w:color="000000" w:sz="4" w:space="0"/>
              <w:left w:val="single" w:color="000000" w:sz="4" w:space="0"/>
              <w:bottom w:val="single" w:color="000000" w:sz="4" w:space="0"/>
              <w:right w:val="single" w:color="000000" w:sz="4" w:space="0"/>
            </w:tcBorders>
            <w:vAlign w:val="center"/>
          </w:tcPr>
          <w:p w14:paraId="19A349D0">
            <w:pPr>
              <w:jc w:val="center"/>
              <w:rPr>
                <w:rFonts w:ascii="Times New Roman" w:hAnsi="Times New Roman" w:eastAsia="仿宋" w:cs="Times New Roman"/>
                <w:kern w:val="2"/>
              </w:rPr>
            </w:pPr>
            <w:r>
              <w:rPr>
                <w:rFonts w:ascii="Times New Roman" w:hAnsi="Times New Roman" w:eastAsia="仿宋" w:cs="Times New Roman"/>
                <w:kern w:val="2"/>
              </w:rPr>
              <w:t>农膜回收率*</w:t>
            </w:r>
          </w:p>
        </w:tc>
        <w:tc>
          <w:tcPr>
            <w:tcW w:w="709" w:type="dxa"/>
            <w:tcBorders>
              <w:top w:val="single" w:color="000000" w:sz="4" w:space="0"/>
              <w:left w:val="single" w:color="000000" w:sz="4" w:space="0"/>
              <w:bottom w:val="single" w:color="000000" w:sz="4" w:space="0"/>
              <w:right w:val="single" w:color="000000" w:sz="4" w:space="0"/>
            </w:tcBorders>
            <w:vAlign w:val="center"/>
          </w:tcPr>
          <w:p w14:paraId="28538276">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26C0B0CD">
            <w:pPr>
              <w:ind w:right="-15"/>
              <w:jc w:val="center"/>
              <w:rPr>
                <w:rFonts w:ascii="Times New Roman" w:hAnsi="Times New Roman" w:eastAsia="仿宋" w:cs="Times New Roman"/>
                <w:kern w:val="2"/>
              </w:rPr>
            </w:pPr>
            <w:r>
              <w:rPr>
                <w:rFonts w:ascii="Times New Roman" w:hAnsi="Times New Roman" w:eastAsia="仿宋" w:cs="Times New Roman"/>
                <w:kern w:val="2"/>
              </w:rPr>
              <w:t>≥85</w:t>
            </w:r>
          </w:p>
        </w:tc>
        <w:tc>
          <w:tcPr>
            <w:tcW w:w="1134" w:type="dxa"/>
            <w:tcBorders>
              <w:top w:val="single" w:color="000000" w:sz="4" w:space="0"/>
              <w:left w:val="single" w:color="000000" w:sz="4" w:space="0"/>
              <w:bottom w:val="single" w:color="000000" w:sz="4" w:space="0"/>
              <w:right w:val="single" w:color="000000" w:sz="4" w:space="0"/>
            </w:tcBorders>
            <w:vAlign w:val="center"/>
          </w:tcPr>
          <w:p w14:paraId="494B6A56">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D3B321E">
            <w:pPr>
              <w:rPr>
                <w:rFonts w:ascii="Times New Roman" w:hAnsi="Times New Roman" w:eastAsia="仿宋" w:cs="Times New Roman"/>
                <w:kern w:val="2"/>
              </w:rPr>
            </w:pPr>
            <w:r>
              <w:rPr>
                <w:rFonts w:ascii="Times New Roman" w:hAnsi="Times New Roman" w:eastAsia="仿宋" w:cs="Times New Roman"/>
                <w:kern w:val="2"/>
              </w:rPr>
              <w:t>2023年农膜回收率为85%</w:t>
            </w:r>
          </w:p>
        </w:tc>
        <w:tc>
          <w:tcPr>
            <w:tcW w:w="1386" w:type="dxa"/>
            <w:tcBorders>
              <w:top w:val="single" w:color="000000" w:sz="4" w:space="0"/>
              <w:left w:val="single" w:color="000000" w:sz="4" w:space="0"/>
              <w:bottom w:val="single" w:color="000000" w:sz="4" w:space="0"/>
              <w:right w:val="single" w:color="000000" w:sz="4" w:space="0"/>
            </w:tcBorders>
            <w:vAlign w:val="center"/>
          </w:tcPr>
          <w:p w14:paraId="12FE90AD">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4B01065A">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015D8BCE">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r>
      <w:tr w14:paraId="252B180E">
        <w:tblPrEx>
          <w:tblCellMar>
            <w:top w:w="36" w:type="dxa"/>
            <w:left w:w="5" w:type="dxa"/>
            <w:bottom w:w="38" w:type="dxa"/>
            <w:right w:w="0" w:type="dxa"/>
          </w:tblCellMar>
        </w:tblPrEx>
        <w:trPr>
          <w:trHeight w:val="438" w:hRule="atLeast"/>
          <w:jc w:val="center"/>
        </w:trPr>
        <w:tc>
          <w:tcPr>
            <w:tcW w:w="699" w:type="dxa"/>
            <w:vMerge w:val="continue"/>
            <w:tcBorders>
              <w:left w:val="single" w:color="000000" w:sz="8" w:space="0"/>
              <w:bottom w:val="single" w:color="auto" w:sz="4" w:space="0"/>
              <w:right w:val="single" w:color="000000" w:sz="4" w:space="0"/>
            </w:tcBorders>
            <w:vAlign w:val="center"/>
          </w:tcPr>
          <w:p w14:paraId="4AFFE0D6">
            <w:pPr>
              <w:rPr>
                <w:rFonts w:ascii="Times New Roman" w:hAnsi="Times New Roman" w:eastAsia="仿宋" w:cs="Times New Roman"/>
                <w:kern w:val="2"/>
                <w:lang w:eastAsia="zh-CN"/>
              </w:rPr>
            </w:pPr>
          </w:p>
        </w:tc>
        <w:tc>
          <w:tcPr>
            <w:tcW w:w="857" w:type="dxa"/>
            <w:vMerge w:val="continue"/>
            <w:tcBorders>
              <w:left w:val="single" w:color="000000" w:sz="4" w:space="0"/>
              <w:bottom w:val="single" w:color="auto" w:sz="4" w:space="0"/>
              <w:right w:val="single" w:color="000000" w:sz="4" w:space="0"/>
            </w:tcBorders>
            <w:vAlign w:val="center"/>
          </w:tcPr>
          <w:p w14:paraId="5561497B">
            <w:pPr>
              <w:jc w:val="center"/>
              <w:rPr>
                <w:rFonts w:ascii="Times New Roman" w:hAnsi="Times New Roman" w:eastAsia="仿宋" w:cs="Times New Roman"/>
                <w:kern w:val="2"/>
                <w:lang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4CE86D">
            <w:pPr>
              <w:jc w:val="center"/>
              <w:rPr>
                <w:rFonts w:ascii="Times New Roman" w:hAnsi="Times New Roman" w:eastAsia="仿宋" w:cs="Times New Roman"/>
                <w:kern w:val="2"/>
                <w:highlight w:val="green"/>
              </w:rPr>
            </w:pPr>
            <w:r>
              <w:rPr>
                <w:rFonts w:ascii="Times New Roman" w:hAnsi="Times New Roman" w:eastAsia="仿宋" w:cs="Times New Roman"/>
                <w:kern w:val="2"/>
              </w:rPr>
              <w:t>16</w:t>
            </w:r>
          </w:p>
        </w:tc>
        <w:tc>
          <w:tcPr>
            <w:tcW w:w="1864" w:type="dxa"/>
            <w:tcBorders>
              <w:top w:val="single" w:color="000000" w:sz="4" w:space="0"/>
              <w:left w:val="single" w:color="000000" w:sz="4" w:space="0"/>
              <w:bottom w:val="single" w:color="000000" w:sz="4" w:space="0"/>
              <w:right w:val="single" w:color="000000" w:sz="4" w:space="0"/>
            </w:tcBorders>
            <w:vAlign w:val="center"/>
          </w:tcPr>
          <w:p w14:paraId="717D50EC">
            <w:pPr>
              <w:ind w:right="-15"/>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一般工业固体废物综合利用率</w:t>
            </w:r>
          </w:p>
        </w:tc>
        <w:tc>
          <w:tcPr>
            <w:tcW w:w="709" w:type="dxa"/>
            <w:tcBorders>
              <w:top w:val="single" w:color="000000" w:sz="4" w:space="0"/>
              <w:left w:val="single" w:color="000000" w:sz="4" w:space="0"/>
              <w:bottom w:val="single" w:color="000000" w:sz="4" w:space="0"/>
              <w:right w:val="single" w:color="000000" w:sz="4" w:space="0"/>
            </w:tcBorders>
            <w:vAlign w:val="center"/>
          </w:tcPr>
          <w:p w14:paraId="6F9657D5">
            <w:pPr>
              <w:ind w:right="-15"/>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75B46802">
            <w:pPr>
              <w:ind w:right="-15"/>
              <w:jc w:val="center"/>
              <w:rPr>
                <w:rFonts w:ascii="Times New Roman" w:hAnsi="Times New Roman" w:eastAsia="仿宋" w:cs="Times New Roman"/>
                <w:kern w:val="2"/>
              </w:rPr>
            </w:pPr>
            <w:r>
              <w:rPr>
                <w:rFonts w:ascii="Times New Roman" w:hAnsi="Times New Roman" w:eastAsia="仿宋" w:cs="Times New Roman"/>
                <w:kern w:val="2"/>
              </w:rPr>
              <w:t>保持稳定或持续改善</w:t>
            </w:r>
          </w:p>
        </w:tc>
        <w:tc>
          <w:tcPr>
            <w:tcW w:w="1134" w:type="dxa"/>
            <w:tcBorders>
              <w:top w:val="single" w:color="000000" w:sz="4" w:space="0"/>
              <w:left w:val="single" w:color="000000" w:sz="4" w:space="0"/>
              <w:bottom w:val="single" w:color="000000" w:sz="4" w:space="0"/>
              <w:right w:val="single" w:color="000000" w:sz="4" w:space="0"/>
            </w:tcBorders>
            <w:vAlign w:val="center"/>
          </w:tcPr>
          <w:p w14:paraId="250708A5">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19E3556B">
            <w:pPr>
              <w:rPr>
                <w:rFonts w:ascii="Times New Roman" w:hAnsi="Times New Roman" w:eastAsia="仿宋" w:cs="Times New Roman"/>
                <w:kern w:val="2"/>
                <w:lang w:eastAsia="zh-CN"/>
              </w:rPr>
            </w:pPr>
            <w:r>
              <w:rPr>
                <w:rFonts w:ascii="Times New Roman" w:hAnsi="Times New Roman" w:eastAsia="仿宋" w:cs="Times New Roman"/>
                <w:kern w:val="2"/>
                <w:lang w:eastAsia="zh-CN"/>
              </w:rPr>
              <w:t>2022年、2023年一般工业固体废物综合利用率分别为81.48%、92.89%，综合利用率提高幅度为14.0%。</w:t>
            </w:r>
          </w:p>
        </w:tc>
        <w:tc>
          <w:tcPr>
            <w:tcW w:w="1386" w:type="dxa"/>
            <w:tcBorders>
              <w:top w:val="single" w:color="000000" w:sz="4" w:space="0"/>
              <w:left w:val="single" w:color="000000" w:sz="4" w:space="0"/>
              <w:bottom w:val="single" w:color="000000" w:sz="4" w:space="0"/>
              <w:right w:val="single" w:color="000000" w:sz="4" w:space="0"/>
            </w:tcBorders>
            <w:vAlign w:val="center"/>
          </w:tcPr>
          <w:p w14:paraId="4150BB8B">
            <w:pPr>
              <w:jc w:val="center"/>
              <w:rPr>
                <w:rFonts w:ascii="Times New Roman" w:hAnsi="Times New Roman" w:eastAsia="仿宋" w:cs="Times New Roman"/>
                <w:kern w:val="2"/>
              </w:rPr>
            </w:pPr>
            <w:bookmarkStart w:id="141" w:name="OLE_LINK76"/>
            <w:bookmarkStart w:id="142" w:name="OLE_LINK77"/>
            <w:r>
              <w:rPr>
                <w:rFonts w:ascii="Times New Roman" w:hAnsi="Times New Roman" w:eastAsia="仿宋" w:cs="Times New Roman"/>
                <w:kern w:val="2"/>
              </w:rPr>
              <w:t>达标</w:t>
            </w:r>
            <w:bookmarkEnd w:id="141"/>
            <w:bookmarkEnd w:id="142"/>
          </w:p>
        </w:tc>
        <w:tc>
          <w:tcPr>
            <w:tcW w:w="1276" w:type="dxa"/>
            <w:tcBorders>
              <w:top w:val="single" w:color="000000" w:sz="4" w:space="0"/>
              <w:left w:val="single" w:color="000000" w:sz="4" w:space="0"/>
              <w:bottom w:val="single" w:color="000000" w:sz="4" w:space="0"/>
              <w:right w:val="single" w:color="000000" w:sz="4" w:space="0"/>
            </w:tcBorders>
            <w:vAlign w:val="center"/>
          </w:tcPr>
          <w:p w14:paraId="51379CE3">
            <w:pPr>
              <w:jc w:val="center"/>
              <w:rPr>
                <w:rFonts w:ascii="Times New Roman" w:hAnsi="Times New Roman" w:eastAsia="仿宋" w:cs="Times New Roman"/>
                <w:kern w:val="2"/>
              </w:rPr>
            </w:pPr>
            <w:r>
              <w:rPr>
                <w:rFonts w:ascii="Times New Roman" w:hAnsi="Times New Roman" w:eastAsia="仿宋" w:cs="Times New Roman"/>
                <w:kern w:val="2"/>
              </w:rPr>
              <w:t>保持稳定或持续改善</w:t>
            </w:r>
          </w:p>
        </w:tc>
        <w:tc>
          <w:tcPr>
            <w:tcW w:w="1559" w:type="dxa"/>
            <w:tcBorders>
              <w:top w:val="single" w:color="000000" w:sz="4" w:space="0"/>
              <w:left w:val="single" w:color="000000" w:sz="4" w:space="0"/>
              <w:bottom w:val="single" w:color="000000" w:sz="4" w:space="0"/>
              <w:right w:val="single" w:color="000000" w:sz="4" w:space="0"/>
            </w:tcBorders>
            <w:vAlign w:val="center"/>
          </w:tcPr>
          <w:p w14:paraId="5D8A7EB0">
            <w:pPr>
              <w:jc w:val="center"/>
              <w:rPr>
                <w:rFonts w:ascii="Times New Roman" w:hAnsi="Times New Roman" w:eastAsia="仿宋" w:cs="Times New Roman"/>
                <w:kern w:val="2"/>
              </w:rPr>
            </w:pPr>
            <w:r>
              <w:rPr>
                <w:rFonts w:ascii="Times New Roman" w:hAnsi="Times New Roman" w:eastAsia="仿宋" w:cs="Times New Roman"/>
                <w:kern w:val="2"/>
              </w:rPr>
              <w:t>保持稳定或持续改善</w:t>
            </w:r>
          </w:p>
        </w:tc>
      </w:tr>
      <w:tr w14:paraId="7AFBE9B2">
        <w:tblPrEx>
          <w:tblCellMar>
            <w:top w:w="36" w:type="dxa"/>
            <w:left w:w="5" w:type="dxa"/>
            <w:bottom w:w="38" w:type="dxa"/>
            <w:right w:w="0" w:type="dxa"/>
          </w:tblCellMar>
        </w:tblPrEx>
        <w:trPr>
          <w:trHeight w:val="807" w:hRule="atLeast"/>
          <w:jc w:val="center"/>
        </w:trPr>
        <w:tc>
          <w:tcPr>
            <w:tcW w:w="699" w:type="dxa"/>
            <w:vMerge w:val="restart"/>
            <w:tcBorders>
              <w:top w:val="single" w:color="auto" w:sz="4" w:space="0"/>
              <w:left w:val="single" w:color="000000" w:sz="8" w:space="0"/>
              <w:right w:val="single" w:color="000000" w:sz="4" w:space="0"/>
            </w:tcBorders>
            <w:vAlign w:val="center"/>
          </w:tcPr>
          <w:p w14:paraId="01469D11">
            <w:pPr>
              <w:jc w:val="center"/>
              <w:rPr>
                <w:rFonts w:ascii="Times New Roman" w:hAnsi="Times New Roman" w:eastAsia="仿宋" w:cs="Times New Roman"/>
                <w:kern w:val="2"/>
              </w:rPr>
            </w:pPr>
            <w:r>
              <w:rPr>
                <w:rFonts w:ascii="Times New Roman" w:hAnsi="Times New Roman" w:eastAsia="仿宋" w:cs="Times New Roman"/>
                <w:kern w:val="2"/>
              </w:rPr>
              <w:t>生态</w:t>
            </w:r>
          </w:p>
          <w:p w14:paraId="0D044FB3">
            <w:pPr>
              <w:jc w:val="center"/>
              <w:rPr>
                <w:rFonts w:ascii="Times New Roman" w:hAnsi="Times New Roman" w:eastAsia="仿宋" w:cs="Times New Roman"/>
                <w:kern w:val="2"/>
              </w:rPr>
            </w:pPr>
            <w:r>
              <w:rPr>
                <w:rFonts w:ascii="Times New Roman" w:hAnsi="Times New Roman" w:eastAsia="仿宋" w:cs="Times New Roman"/>
                <w:kern w:val="2"/>
              </w:rPr>
              <w:t>文化</w:t>
            </w:r>
          </w:p>
        </w:tc>
        <w:tc>
          <w:tcPr>
            <w:tcW w:w="857" w:type="dxa"/>
            <w:vMerge w:val="restart"/>
            <w:tcBorders>
              <w:top w:val="single" w:color="auto" w:sz="4" w:space="0"/>
              <w:left w:val="single" w:color="000000" w:sz="4" w:space="0"/>
              <w:right w:val="single" w:color="000000" w:sz="4" w:space="0"/>
            </w:tcBorders>
            <w:vAlign w:val="center"/>
          </w:tcPr>
          <w:p w14:paraId="7972342E">
            <w:pPr>
              <w:jc w:val="center"/>
              <w:rPr>
                <w:rFonts w:ascii="Times New Roman" w:hAnsi="Times New Roman" w:eastAsia="仿宋" w:cs="Times New Roman"/>
                <w:kern w:val="2"/>
              </w:rPr>
            </w:pPr>
            <w:r>
              <w:rPr>
                <w:rFonts w:ascii="Times New Roman" w:hAnsi="Times New Roman" w:eastAsia="仿宋" w:cs="Times New Roman"/>
                <w:kern w:val="2"/>
              </w:rPr>
              <w:t>（七）全民共建</w:t>
            </w:r>
          </w:p>
          <w:p w14:paraId="2D48D038">
            <w:pPr>
              <w:jc w:val="center"/>
              <w:rPr>
                <w:rFonts w:ascii="Times New Roman" w:hAnsi="Times New Roman" w:eastAsia="仿宋" w:cs="Times New Roman"/>
                <w:kern w:val="2"/>
              </w:rPr>
            </w:pPr>
            <w:r>
              <w:rPr>
                <w:rFonts w:ascii="Times New Roman" w:hAnsi="Times New Roman" w:eastAsia="仿宋" w:cs="Times New Roman"/>
                <w:kern w:val="2"/>
              </w:rPr>
              <w:t>共享</w:t>
            </w:r>
          </w:p>
        </w:tc>
        <w:tc>
          <w:tcPr>
            <w:tcW w:w="712" w:type="dxa"/>
            <w:tcBorders>
              <w:top w:val="single" w:color="000000" w:sz="4" w:space="0"/>
              <w:left w:val="single" w:color="000000" w:sz="4" w:space="0"/>
              <w:bottom w:val="single" w:color="000000" w:sz="4" w:space="0"/>
              <w:right w:val="single" w:color="000000" w:sz="4" w:space="0"/>
            </w:tcBorders>
            <w:vAlign w:val="center"/>
          </w:tcPr>
          <w:p w14:paraId="5D68CE2E">
            <w:pPr>
              <w:jc w:val="center"/>
              <w:rPr>
                <w:rFonts w:ascii="Times New Roman" w:hAnsi="Times New Roman" w:eastAsia="仿宋" w:cs="Times New Roman"/>
                <w:kern w:val="2"/>
              </w:rPr>
            </w:pPr>
            <w:r>
              <w:rPr>
                <w:rFonts w:ascii="Times New Roman" w:hAnsi="Times New Roman" w:eastAsia="仿宋" w:cs="Times New Roman"/>
                <w:kern w:val="2"/>
              </w:rPr>
              <w:t>17</w:t>
            </w:r>
          </w:p>
        </w:tc>
        <w:tc>
          <w:tcPr>
            <w:tcW w:w="1864" w:type="dxa"/>
            <w:tcBorders>
              <w:top w:val="single" w:color="000000" w:sz="4" w:space="0"/>
              <w:left w:val="single" w:color="000000" w:sz="4" w:space="0"/>
              <w:bottom w:val="single" w:color="000000" w:sz="4" w:space="0"/>
              <w:right w:val="single" w:color="000000" w:sz="4" w:space="0"/>
            </w:tcBorders>
            <w:vAlign w:val="center"/>
          </w:tcPr>
          <w:p w14:paraId="18BAB2C0">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公众对生态环境质量满意程度</w:t>
            </w:r>
          </w:p>
        </w:tc>
        <w:tc>
          <w:tcPr>
            <w:tcW w:w="709" w:type="dxa"/>
            <w:tcBorders>
              <w:top w:val="single" w:color="000000" w:sz="4" w:space="0"/>
              <w:left w:val="single" w:color="000000" w:sz="4" w:space="0"/>
              <w:bottom w:val="single" w:color="000000" w:sz="4" w:space="0"/>
              <w:right w:val="single" w:color="000000" w:sz="4" w:space="0"/>
            </w:tcBorders>
            <w:vAlign w:val="center"/>
          </w:tcPr>
          <w:p w14:paraId="4D6822C7">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2F0AFA85">
            <w:pPr>
              <w:jc w:val="center"/>
              <w:rPr>
                <w:rFonts w:ascii="Times New Roman" w:hAnsi="Times New Roman" w:eastAsia="仿宋" w:cs="Times New Roman"/>
                <w:kern w:val="2"/>
              </w:rPr>
            </w:pPr>
            <w:r>
              <w:rPr>
                <w:rFonts w:ascii="Times New Roman" w:hAnsi="Times New Roman" w:eastAsia="仿宋" w:cs="Times New Roman"/>
                <w:kern w:val="2"/>
              </w:rPr>
              <w:t>≥90</w:t>
            </w:r>
          </w:p>
        </w:tc>
        <w:tc>
          <w:tcPr>
            <w:tcW w:w="1134" w:type="dxa"/>
            <w:tcBorders>
              <w:top w:val="single" w:color="000000" w:sz="4" w:space="0"/>
              <w:left w:val="single" w:color="000000" w:sz="4" w:space="0"/>
              <w:bottom w:val="single" w:color="000000" w:sz="4" w:space="0"/>
              <w:right w:val="single" w:color="000000" w:sz="4" w:space="0"/>
            </w:tcBorders>
            <w:vAlign w:val="center"/>
          </w:tcPr>
          <w:p w14:paraId="53398C11">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1BF5A84">
            <w:pPr>
              <w:rPr>
                <w:rFonts w:ascii="Times New Roman" w:hAnsi="Times New Roman" w:eastAsia="仿宋" w:cs="Times New Roman"/>
                <w:kern w:val="2"/>
                <w:lang w:eastAsia="zh-CN"/>
              </w:rPr>
            </w:pPr>
            <w:r>
              <w:rPr>
                <w:rFonts w:ascii="Times New Roman" w:hAnsi="Times New Roman" w:eastAsia="仿宋" w:cs="Times New Roman"/>
                <w:kern w:val="2"/>
                <w:lang w:eastAsia="zh-CN"/>
              </w:rPr>
              <w:t>2023年公众对生态环境质量满意程度为98.24%</w:t>
            </w:r>
          </w:p>
        </w:tc>
        <w:tc>
          <w:tcPr>
            <w:tcW w:w="1386" w:type="dxa"/>
            <w:tcBorders>
              <w:top w:val="single" w:color="000000" w:sz="4" w:space="0"/>
              <w:left w:val="single" w:color="000000" w:sz="4" w:space="0"/>
              <w:bottom w:val="single" w:color="000000" w:sz="4" w:space="0"/>
              <w:right w:val="single" w:color="000000" w:sz="4" w:space="0"/>
            </w:tcBorders>
            <w:vAlign w:val="center"/>
          </w:tcPr>
          <w:p w14:paraId="05005AD7">
            <w:pPr>
              <w:jc w:val="center"/>
              <w:rPr>
                <w:rFonts w:ascii="Times New Roman" w:hAnsi="Times New Roman" w:eastAsia="仿宋" w:cs="Times New Roman"/>
                <w:kern w:val="2"/>
              </w:rPr>
            </w:pPr>
            <w:bookmarkStart w:id="143" w:name="OLE_LINK307"/>
            <w:bookmarkStart w:id="144" w:name="OLE_LINK308"/>
            <w:r>
              <w:rPr>
                <w:rFonts w:ascii="Times New Roman" w:hAnsi="Times New Roman" w:eastAsia="仿宋" w:cs="Times New Roman"/>
                <w:kern w:val="2"/>
              </w:rPr>
              <w:t>达标</w:t>
            </w:r>
            <w:bookmarkEnd w:id="143"/>
            <w:bookmarkEnd w:id="144"/>
          </w:p>
        </w:tc>
        <w:tc>
          <w:tcPr>
            <w:tcW w:w="1276" w:type="dxa"/>
            <w:tcBorders>
              <w:top w:val="single" w:color="000000" w:sz="4" w:space="0"/>
              <w:left w:val="single" w:color="000000" w:sz="4" w:space="0"/>
              <w:bottom w:val="single" w:color="000000" w:sz="4" w:space="0"/>
              <w:right w:val="single" w:color="000000" w:sz="4" w:space="0"/>
            </w:tcBorders>
            <w:vAlign w:val="center"/>
          </w:tcPr>
          <w:p w14:paraId="79A99842">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7A4317FB">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r>
      <w:tr w14:paraId="35C8C8A4">
        <w:tblPrEx>
          <w:tblCellMar>
            <w:top w:w="36" w:type="dxa"/>
            <w:left w:w="5" w:type="dxa"/>
            <w:bottom w:w="38" w:type="dxa"/>
            <w:right w:w="0" w:type="dxa"/>
          </w:tblCellMar>
        </w:tblPrEx>
        <w:trPr>
          <w:trHeight w:val="348" w:hRule="atLeast"/>
          <w:jc w:val="center"/>
        </w:trPr>
        <w:tc>
          <w:tcPr>
            <w:tcW w:w="699" w:type="dxa"/>
            <w:vMerge w:val="continue"/>
            <w:tcBorders>
              <w:left w:val="single" w:color="000000" w:sz="8" w:space="0"/>
              <w:bottom w:val="single" w:color="auto" w:sz="4" w:space="0"/>
              <w:right w:val="single" w:color="000000" w:sz="4" w:space="0"/>
            </w:tcBorders>
            <w:vAlign w:val="center"/>
          </w:tcPr>
          <w:p w14:paraId="2D415910">
            <w:pPr>
              <w:rPr>
                <w:rFonts w:ascii="Times New Roman" w:hAnsi="Times New Roman" w:eastAsia="仿宋" w:cs="Times New Roman"/>
                <w:kern w:val="2"/>
                <w:lang w:eastAsia="zh-CN"/>
              </w:rPr>
            </w:pPr>
          </w:p>
        </w:tc>
        <w:tc>
          <w:tcPr>
            <w:tcW w:w="857" w:type="dxa"/>
            <w:vMerge w:val="continue"/>
            <w:tcBorders>
              <w:left w:val="single" w:color="000000" w:sz="4" w:space="0"/>
              <w:bottom w:val="single" w:color="auto" w:sz="4" w:space="0"/>
              <w:right w:val="single" w:color="000000" w:sz="4" w:space="0"/>
            </w:tcBorders>
            <w:vAlign w:val="center"/>
          </w:tcPr>
          <w:p w14:paraId="3F0276FB">
            <w:pPr>
              <w:jc w:val="center"/>
              <w:rPr>
                <w:rFonts w:ascii="Times New Roman" w:hAnsi="Times New Roman" w:eastAsia="仿宋" w:cs="Times New Roman"/>
                <w:kern w:val="2"/>
                <w:lang w:eastAsia="zh-CN"/>
              </w:rPr>
            </w:pPr>
          </w:p>
        </w:tc>
        <w:tc>
          <w:tcPr>
            <w:tcW w:w="7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B4F8D">
            <w:pPr>
              <w:jc w:val="center"/>
              <w:rPr>
                <w:rFonts w:ascii="Times New Roman" w:hAnsi="Times New Roman" w:eastAsia="仿宋" w:cs="Times New Roman"/>
                <w:kern w:val="2"/>
              </w:rPr>
            </w:pPr>
            <w:r>
              <w:rPr>
                <w:rFonts w:ascii="Times New Roman" w:hAnsi="Times New Roman" w:eastAsia="仿宋" w:cs="Times New Roman"/>
                <w:kern w:val="2"/>
              </w:rPr>
              <w:t>18</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C24B">
            <w:pPr>
              <w:pStyle w:val="36"/>
              <w:adjustRightInd w:val="0"/>
              <w:snapToGrid w:val="0"/>
              <w:spacing w:before="0" w:beforeAutospacing="0" w:after="0" w:afterAutospacing="0"/>
              <w:jc w:val="center"/>
              <w:rPr>
                <w:rFonts w:ascii="Times New Roman" w:hAnsi="Times New Roman" w:cs="Times New Roman"/>
                <w:kern w:val="2"/>
                <w:sz w:val="21"/>
                <w:szCs w:val="21"/>
                <w:lang w:val="zh-CN" w:bidi="zh-CN"/>
              </w:rPr>
            </w:pPr>
            <w:bookmarkStart w:id="145" w:name="OLE_LINK133"/>
            <w:bookmarkStart w:id="146" w:name="OLE_LINK134"/>
            <w:r>
              <w:rPr>
                <w:rFonts w:ascii="Times New Roman" w:hAnsi="Times New Roman" w:cs="Times New Roman"/>
                <w:kern w:val="2"/>
                <w:sz w:val="21"/>
                <w:szCs w:val="21"/>
                <w:lang w:val="zh-CN" w:bidi="zh-CN"/>
              </w:rPr>
              <w:t>城镇新建绿色建筑比例</w:t>
            </w:r>
            <w:bookmarkEnd w:id="145"/>
            <w:bookmarkEnd w:id="146"/>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8A91">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5EA">
            <w:pPr>
              <w:pStyle w:val="36"/>
              <w:adjustRightInd w:val="0"/>
              <w:snapToGrid w:val="0"/>
              <w:spacing w:before="0" w:beforeAutospacing="0" w:after="0" w:afterAutospacing="0"/>
              <w:jc w:val="center"/>
              <w:rPr>
                <w:rFonts w:ascii="Times New Roman" w:hAnsi="Times New Roman" w:cs="Times New Roman"/>
                <w:color w:val="333333"/>
                <w:kern w:val="2"/>
                <w:sz w:val="21"/>
                <w:szCs w:val="21"/>
              </w:rPr>
            </w:pPr>
            <w:r>
              <w:rPr>
                <w:rFonts w:ascii="Times New Roman" w:hAnsi="Times New Roman" w:cs="Times New Roman"/>
                <w:color w:val="333333"/>
                <w:kern w:val="2"/>
                <w:sz w:val="21"/>
                <w:szCs w:val="21"/>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B8AA">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F8A">
            <w:pPr>
              <w:jc w:val="center"/>
              <w:rPr>
                <w:rFonts w:ascii="Times New Roman" w:hAnsi="Times New Roman" w:eastAsia="仿宋" w:cs="Times New Roman"/>
                <w:kern w:val="2"/>
              </w:rPr>
            </w:pPr>
            <w:r>
              <w:rPr>
                <w:rFonts w:ascii="Times New Roman" w:hAnsi="Times New Roman" w:eastAsia="仿宋" w:cs="Times New Roman"/>
                <w:kern w:val="2"/>
              </w:rPr>
              <w:t>71.5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A4C">
            <w:pPr>
              <w:jc w:val="center"/>
              <w:rPr>
                <w:rFonts w:ascii="Times New Roman" w:hAnsi="Times New Roman" w:eastAsia="仿宋" w:cs="Times New Roman"/>
                <w:kern w:val="2"/>
              </w:rPr>
            </w:pPr>
            <w:r>
              <w:rPr>
                <w:rFonts w:ascii="Times New Roman" w:hAnsi="Times New Roman" w:eastAsia="仿宋" w:cs="Times New Roman"/>
                <w:kern w:val="2"/>
                <w:lang w:eastAsia="zh-CN"/>
              </w:rPr>
              <w:t>不</w:t>
            </w: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54B">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65D">
            <w:pPr>
              <w:jc w:val="center"/>
              <w:rPr>
                <w:rFonts w:ascii="Times New Roman" w:hAnsi="Times New Roman" w:eastAsia="仿宋" w:cs="Times New Roman"/>
                <w:kern w:val="2"/>
              </w:rPr>
            </w:pPr>
            <w:r>
              <w:rPr>
                <w:rFonts w:ascii="Times New Roman" w:hAnsi="Times New Roman" w:eastAsia="仿宋" w:cs="Times New Roman"/>
                <w:kern w:val="2"/>
              </w:rPr>
              <w:t>100</w:t>
            </w:r>
          </w:p>
        </w:tc>
      </w:tr>
      <w:tr w14:paraId="7C27FB8A">
        <w:tblPrEx>
          <w:tblCellMar>
            <w:top w:w="36" w:type="dxa"/>
            <w:left w:w="5" w:type="dxa"/>
            <w:bottom w:w="38" w:type="dxa"/>
            <w:right w:w="0" w:type="dxa"/>
          </w:tblCellMar>
        </w:tblPrEx>
        <w:trPr>
          <w:trHeight w:val="623" w:hRule="atLeast"/>
          <w:jc w:val="center"/>
        </w:trPr>
        <w:tc>
          <w:tcPr>
            <w:tcW w:w="699" w:type="dxa"/>
            <w:tcBorders>
              <w:top w:val="single" w:color="auto" w:sz="4" w:space="0"/>
              <w:left w:val="single" w:color="000000" w:sz="8" w:space="0"/>
              <w:bottom w:val="single" w:color="auto" w:sz="4" w:space="0"/>
              <w:right w:val="single" w:color="000000" w:sz="4" w:space="0"/>
            </w:tcBorders>
            <w:vAlign w:val="center"/>
          </w:tcPr>
          <w:p w14:paraId="72C600A9">
            <w:pPr>
              <w:jc w:val="center"/>
              <w:rPr>
                <w:rFonts w:ascii="Times New Roman" w:hAnsi="Times New Roman" w:eastAsia="仿宋" w:cs="Times New Roman"/>
                <w:spacing w:val="-20"/>
                <w:kern w:val="2"/>
              </w:rPr>
            </w:pPr>
            <w:r>
              <w:rPr>
                <w:rFonts w:ascii="Times New Roman" w:hAnsi="Times New Roman" w:eastAsia="仿宋" w:cs="Times New Roman"/>
                <w:spacing w:val="-20"/>
                <w:kern w:val="2"/>
              </w:rPr>
              <w:t>生态</w:t>
            </w:r>
          </w:p>
          <w:p w14:paraId="31143F5E">
            <w:pPr>
              <w:jc w:val="center"/>
              <w:rPr>
                <w:rFonts w:ascii="Times New Roman" w:hAnsi="Times New Roman" w:eastAsia="仿宋" w:cs="Times New Roman"/>
                <w:kern w:val="2"/>
              </w:rPr>
            </w:pPr>
            <w:r>
              <w:rPr>
                <w:rFonts w:ascii="Times New Roman" w:hAnsi="Times New Roman" w:eastAsia="仿宋" w:cs="Times New Roman"/>
                <w:spacing w:val="-20"/>
                <w:kern w:val="2"/>
              </w:rPr>
              <w:t>文明制度</w:t>
            </w:r>
          </w:p>
        </w:tc>
        <w:tc>
          <w:tcPr>
            <w:tcW w:w="857" w:type="dxa"/>
            <w:tcBorders>
              <w:top w:val="single" w:color="auto" w:sz="4" w:space="0"/>
              <w:left w:val="single" w:color="000000" w:sz="4" w:space="0"/>
              <w:bottom w:val="single" w:color="auto" w:sz="4" w:space="0"/>
              <w:right w:val="single" w:color="000000" w:sz="4" w:space="0"/>
            </w:tcBorders>
            <w:vAlign w:val="center"/>
          </w:tcPr>
          <w:p w14:paraId="70CFC93E">
            <w:pPr>
              <w:jc w:val="center"/>
              <w:rPr>
                <w:rFonts w:ascii="Times New Roman" w:hAnsi="Times New Roman" w:eastAsia="仿宋" w:cs="Times New Roman"/>
                <w:spacing w:val="-20"/>
                <w:kern w:val="2"/>
              </w:rPr>
            </w:pPr>
            <w:r>
              <w:rPr>
                <w:rFonts w:ascii="Times New Roman" w:hAnsi="Times New Roman" w:eastAsia="仿宋" w:cs="Times New Roman"/>
                <w:spacing w:val="-20"/>
                <w:kern w:val="2"/>
              </w:rPr>
              <w:t>（八）体质机制保障</w:t>
            </w:r>
          </w:p>
        </w:tc>
        <w:tc>
          <w:tcPr>
            <w:tcW w:w="712" w:type="dxa"/>
            <w:tcBorders>
              <w:top w:val="single" w:color="auto" w:sz="4" w:space="0"/>
              <w:left w:val="single" w:color="000000" w:sz="4" w:space="0"/>
              <w:bottom w:val="single" w:color="auto" w:sz="4" w:space="0"/>
              <w:right w:val="single" w:color="000000" w:sz="4" w:space="0"/>
            </w:tcBorders>
            <w:vAlign w:val="center"/>
          </w:tcPr>
          <w:p w14:paraId="6E685664">
            <w:pPr>
              <w:jc w:val="center"/>
              <w:rPr>
                <w:rFonts w:ascii="Times New Roman" w:hAnsi="Times New Roman" w:eastAsia="仿宋" w:cs="Times New Roman"/>
                <w:kern w:val="2"/>
              </w:rPr>
            </w:pPr>
            <w:r>
              <w:rPr>
                <w:rFonts w:ascii="Times New Roman" w:hAnsi="Times New Roman" w:eastAsia="仿宋" w:cs="Times New Roman"/>
                <w:kern w:val="2"/>
              </w:rPr>
              <w:t>19</w:t>
            </w:r>
          </w:p>
        </w:tc>
        <w:tc>
          <w:tcPr>
            <w:tcW w:w="1864" w:type="dxa"/>
            <w:tcBorders>
              <w:top w:val="single" w:color="000000" w:sz="4" w:space="0"/>
              <w:left w:val="single" w:color="000000" w:sz="4" w:space="0"/>
              <w:bottom w:val="single" w:color="auto" w:sz="4" w:space="0"/>
              <w:right w:val="single" w:color="000000" w:sz="4" w:space="0"/>
            </w:tcBorders>
            <w:vAlign w:val="center"/>
          </w:tcPr>
          <w:p w14:paraId="4D86E4DB">
            <w:pPr>
              <w:jc w:val="center"/>
              <w:rPr>
                <w:rFonts w:ascii="Times New Roman" w:hAnsi="Times New Roman" w:eastAsia="仿宋" w:cs="Times New Roman"/>
                <w:kern w:val="2"/>
              </w:rPr>
            </w:pPr>
            <w:r>
              <w:rPr>
                <w:rFonts w:ascii="Times New Roman" w:hAnsi="Times New Roman" w:eastAsia="仿宋" w:cs="Times New Roman"/>
                <w:kern w:val="2"/>
              </w:rPr>
              <w:t>生态环境信息</w:t>
            </w:r>
          </w:p>
          <w:p w14:paraId="33C738BC">
            <w:pPr>
              <w:jc w:val="center"/>
              <w:rPr>
                <w:rFonts w:ascii="Times New Roman" w:hAnsi="Times New Roman" w:eastAsia="仿宋" w:cs="Times New Roman"/>
                <w:kern w:val="2"/>
              </w:rPr>
            </w:pPr>
            <w:r>
              <w:rPr>
                <w:rFonts w:ascii="Times New Roman" w:hAnsi="Times New Roman" w:eastAsia="仿宋" w:cs="Times New Roman"/>
                <w:kern w:val="2"/>
              </w:rPr>
              <w:t>公开率</w:t>
            </w:r>
          </w:p>
        </w:tc>
        <w:tc>
          <w:tcPr>
            <w:tcW w:w="709" w:type="dxa"/>
            <w:tcBorders>
              <w:top w:val="single" w:color="000000" w:sz="4" w:space="0"/>
              <w:left w:val="single" w:color="000000" w:sz="4" w:space="0"/>
              <w:bottom w:val="single" w:color="auto" w:sz="4" w:space="0"/>
              <w:right w:val="single" w:color="000000" w:sz="4" w:space="0"/>
            </w:tcBorders>
            <w:vAlign w:val="center"/>
          </w:tcPr>
          <w:p w14:paraId="7CD84841">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auto" w:sz="4" w:space="0"/>
              <w:right w:val="single" w:color="000000" w:sz="4" w:space="0"/>
            </w:tcBorders>
            <w:vAlign w:val="center"/>
          </w:tcPr>
          <w:p w14:paraId="1058DC27">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134" w:type="dxa"/>
            <w:tcBorders>
              <w:top w:val="single" w:color="000000" w:sz="4" w:space="0"/>
              <w:left w:val="single" w:color="000000" w:sz="4" w:space="0"/>
              <w:bottom w:val="single" w:color="auto" w:sz="4" w:space="0"/>
              <w:right w:val="single" w:color="000000" w:sz="4" w:space="0"/>
            </w:tcBorders>
            <w:vAlign w:val="center"/>
          </w:tcPr>
          <w:p w14:paraId="3C02856E">
            <w:pPr>
              <w:jc w:val="center"/>
              <w:rPr>
                <w:rFonts w:ascii="Times New Roman" w:hAnsi="Times New Roman" w:eastAsia="仿宋" w:cs="Times New Roman"/>
                <w:kern w:val="2"/>
              </w:rPr>
            </w:pPr>
            <w:r>
              <w:rPr>
                <w:rFonts w:ascii="Times New Roman" w:hAnsi="Times New Roman" w:eastAsia="仿宋" w:cs="Times New Roman"/>
                <w:kern w:val="2"/>
              </w:rPr>
              <w:t>约束性</w:t>
            </w:r>
          </w:p>
        </w:tc>
        <w:tc>
          <w:tcPr>
            <w:tcW w:w="2835" w:type="dxa"/>
            <w:tcBorders>
              <w:top w:val="single" w:color="000000" w:sz="4" w:space="0"/>
              <w:left w:val="single" w:color="000000" w:sz="4" w:space="0"/>
              <w:bottom w:val="single" w:color="auto" w:sz="4" w:space="0"/>
              <w:right w:val="single" w:color="000000" w:sz="4" w:space="0"/>
            </w:tcBorders>
            <w:vAlign w:val="center"/>
          </w:tcPr>
          <w:p w14:paraId="47C5AED1">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386" w:type="dxa"/>
            <w:tcBorders>
              <w:top w:val="single" w:color="000000" w:sz="4" w:space="0"/>
              <w:left w:val="single" w:color="000000" w:sz="4" w:space="0"/>
              <w:bottom w:val="single" w:color="auto" w:sz="4" w:space="0"/>
              <w:right w:val="single" w:color="000000" w:sz="4" w:space="0"/>
            </w:tcBorders>
            <w:vAlign w:val="center"/>
          </w:tcPr>
          <w:p w14:paraId="05D06A4F">
            <w:pPr>
              <w:jc w:val="center"/>
              <w:rPr>
                <w:rFonts w:ascii="Times New Roman" w:hAnsi="Times New Roman" w:eastAsia="仿宋" w:cs="Times New Roman"/>
                <w:kern w:val="2"/>
              </w:rPr>
            </w:pPr>
            <w:r>
              <w:rPr>
                <w:rFonts w:ascii="Times New Roman" w:hAnsi="Times New Roman" w:eastAsia="仿宋" w:cs="Times New Roman"/>
                <w:kern w:val="2"/>
              </w:rPr>
              <w:t>已达标</w:t>
            </w:r>
          </w:p>
        </w:tc>
        <w:tc>
          <w:tcPr>
            <w:tcW w:w="1276" w:type="dxa"/>
            <w:tcBorders>
              <w:top w:val="single" w:color="000000" w:sz="4" w:space="0"/>
              <w:left w:val="single" w:color="000000" w:sz="4" w:space="0"/>
              <w:bottom w:val="single" w:color="auto" w:sz="4" w:space="0"/>
              <w:right w:val="single" w:color="000000" w:sz="4" w:space="0"/>
            </w:tcBorders>
            <w:vAlign w:val="center"/>
          </w:tcPr>
          <w:p w14:paraId="278B1F22">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559" w:type="dxa"/>
            <w:tcBorders>
              <w:top w:val="single" w:color="000000" w:sz="4" w:space="0"/>
              <w:left w:val="single" w:color="000000" w:sz="4" w:space="0"/>
              <w:bottom w:val="single" w:color="auto" w:sz="4" w:space="0"/>
              <w:right w:val="single" w:color="000000" w:sz="4" w:space="0"/>
            </w:tcBorders>
            <w:vAlign w:val="center"/>
          </w:tcPr>
          <w:p w14:paraId="1F362B4D">
            <w:pPr>
              <w:jc w:val="center"/>
              <w:rPr>
                <w:rFonts w:ascii="Times New Roman" w:hAnsi="Times New Roman" w:eastAsia="仿宋" w:cs="Times New Roman"/>
                <w:kern w:val="2"/>
              </w:rPr>
            </w:pPr>
            <w:r>
              <w:rPr>
                <w:rFonts w:ascii="Times New Roman" w:hAnsi="Times New Roman" w:eastAsia="仿宋" w:cs="Times New Roman"/>
                <w:kern w:val="2"/>
              </w:rPr>
              <w:t>100</w:t>
            </w:r>
          </w:p>
        </w:tc>
      </w:tr>
      <w:tr w14:paraId="5EB43FFA">
        <w:tblPrEx>
          <w:tblCellMar>
            <w:top w:w="36" w:type="dxa"/>
            <w:left w:w="5" w:type="dxa"/>
            <w:bottom w:w="38" w:type="dxa"/>
            <w:right w:w="0" w:type="dxa"/>
          </w:tblCellMar>
        </w:tblPrEx>
        <w:trPr>
          <w:trHeight w:val="1754" w:hRule="atLeast"/>
          <w:jc w:val="center"/>
        </w:trPr>
        <w:tc>
          <w:tcPr>
            <w:tcW w:w="1556" w:type="dxa"/>
            <w:gridSpan w:val="2"/>
            <w:vMerge w:val="restart"/>
            <w:tcBorders>
              <w:top w:val="single" w:color="auto" w:sz="4" w:space="0"/>
              <w:left w:val="single" w:color="000000" w:sz="8" w:space="0"/>
              <w:right w:val="single" w:color="000000" w:sz="4" w:space="0"/>
            </w:tcBorders>
            <w:vAlign w:val="center"/>
          </w:tcPr>
          <w:p w14:paraId="24E9E3C8">
            <w:pPr>
              <w:jc w:val="center"/>
              <w:rPr>
                <w:rFonts w:ascii="Times New Roman" w:hAnsi="Times New Roman" w:eastAsia="仿宋" w:cs="Times New Roman"/>
                <w:kern w:val="2"/>
              </w:rPr>
            </w:pPr>
            <w:r>
              <w:rPr>
                <w:rFonts w:ascii="Times New Roman" w:hAnsi="Times New Roman" w:eastAsia="仿宋" w:cs="Times New Roman"/>
                <w:kern w:val="2"/>
              </w:rPr>
              <w:t>参考性指标</w:t>
            </w:r>
          </w:p>
        </w:tc>
        <w:tc>
          <w:tcPr>
            <w:tcW w:w="712" w:type="dxa"/>
            <w:tcBorders>
              <w:top w:val="single" w:color="000000" w:sz="4" w:space="0"/>
              <w:left w:val="single" w:color="000000" w:sz="4" w:space="0"/>
              <w:bottom w:val="single" w:color="000000" w:sz="4" w:space="0"/>
              <w:right w:val="single" w:color="000000" w:sz="4" w:space="0"/>
            </w:tcBorders>
            <w:vAlign w:val="center"/>
          </w:tcPr>
          <w:p w14:paraId="3BD432DE">
            <w:pPr>
              <w:jc w:val="center"/>
              <w:rPr>
                <w:rFonts w:ascii="Times New Roman" w:hAnsi="Times New Roman" w:eastAsia="仿宋" w:cs="Times New Roman"/>
                <w:kern w:val="2"/>
              </w:rPr>
            </w:pPr>
            <w:r>
              <w:rPr>
                <w:rFonts w:ascii="Times New Roman" w:hAnsi="Times New Roman" w:eastAsia="仿宋" w:cs="Times New Roman"/>
                <w:kern w:val="2"/>
              </w:rPr>
              <w:t>1</w:t>
            </w:r>
          </w:p>
        </w:tc>
        <w:tc>
          <w:tcPr>
            <w:tcW w:w="1864" w:type="dxa"/>
            <w:tcBorders>
              <w:top w:val="single" w:color="000000" w:sz="4" w:space="0"/>
              <w:left w:val="single" w:color="000000" w:sz="4" w:space="0"/>
              <w:bottom w:val="single" w:color="000000" w:sz="4" w:space="0"/>
              <w:right w:val="single" w:color="000000" w:sz="4" w:space="0"/>
            </w:tcBorders>
            <w:vAlign w:val="center"/>
          </w:tcPr>
          <w:p w14:paraId="56B045D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农村生活污水治理（管控）率</w:t>
            </w:r>
          </w:p>
        </w:tc>
        <w:tc>
          <w:tcPr>
            <w:tcW w:w="709" w:type="dxa"/>
            <w:tcBorders>
              <w:top w:val="single" w:color="000000" w:sz="4" w:space="0"/>
              <w:left w:val="single" w:color="000000" w:sz="4" w:space="0"/>
              <w:bottom w:val="single" w:color="000000" w:sz="4" w:space="0"/>
              <w:right w:val="single" w:color="000000" w:sz="4" w:space="0"/>
            </w:tcBorders>
            <w:vAlign w:val="center"/>
          </w:tcPr>
          <w:p w14:paraId="4375199C">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7E6445D7">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中西部地级及以上城市市辖区、东部地区：≥60；</w:t>
            </w:r>
          </w:p>
          <w:p w14:paraId="67D856F1">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中西部其他地区、东北地区：≥30</w:t>
            </w:r>
          </w:p>
        </w:tc>
        <w:tc>
          <w:tcPr>
            <w:tcW w:w="1134" w:type="dxa"/>
            <w:tcBorders>
              <w:top w:val="single" w:color="000000" w:sz="4" w:space="0"/>
              <w:left w:val="single" w:color="000000" w:sz="4" w:space="0"/>
              <w:bottom w:val="single" w:color="000000" w:sz="4" w:space="0"/>
              <w:right w:val="single" w:color="000000" w:sz="4" w:space="0"/>
            </w:tcBorders>
            <w:vAlign w:val="center"/>
          </w:tcPr>
          <w:p w14:paraId="718C55E8">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2FC896E0">
            <w:pPr>
              <w:jc w:val="center"/>
              <w:rPr>
                <w:rFonts w:ascii="Times New Roman" w:hAnsi="Times New Roman" w:eastAsia="仿宋" w:cs="Times New Roman"/>
                <w:kern w:val="2"/>
                <w:lang w:eastAsia="zh-CN"/>
              </w:rPr>
            </w:pPr>
            <w:r>
              <w:rPr>
                <w:rFonts w:ascii="Times New Roman" w:hAnsi="Times New Roman" w:cs="Times New Roman"/>
                <w:kern w:val="2"/>
              </w:rPr>
              <w:t>30.56</w:t>
            </w:r>
          </w:p>
        </w:tc>
        <w:tc>
          <w:tcPr>
            <w:tcW w:w="1386" w:type="dxa"/>
            <w:tcBorders>
              <w:top w:val="single" w:color="000000" w:sz="4" w:space="0"/>
              <w:left w:val="single" w:color="000000" w:sz="4" w:space="0"/>
              <w:bottom w:val="single" w:color="000000" w:sz="4" w:space="0"/>
              <w:right w:val="single" w:color="000000" w:sz="4" w:space="0"/>
            </w:tcBorders>
            <w:vAlign w:val="center"/>
          </w:tcPr>
          <w:p w14:paraId="3D50D0F0">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606C5E8D">
            <w:pPr>
              <w:jc w:val="center"/>
              <w:rPr>
                <w:rFonts w:ascii="Times New Roman" w:hAnsi="Times New Roman" w:eastAsia="仿宋" w:cs="Times New Roman"/>
                <w:kern w:val="2"/>
              </w:rPr>
            </w:pPr>
            <w:r>
              <w:rPr>
                <w:rFonts w:ascii="Times New Roman" w:hAnsi="Times New Roman" w:eastAsia="仿宋" w:cs="Times New Roman"/>
                <w:kern w:val="2"/>
              </w:rPr>
              <w:t>100</w:t>
            </w:r>
          </w:p>
        </w:tc>
        <w:tc>
          <w:tcPr>
            <w:tcW w:w="1559" w:type="dxa"/>
            <w:tcBorders>
              <w:top w:val="single" w:color="000000" w:sz="4" w:space="0"/>
              <w:left w:val="single" w:color="000000" w:sz="4" w:space="0"/>
              <w:bottom w:val="single" w:color="000000" w:sz="4" w:space="0"/>
              <w:right w:val="single" w:color="000000" w:sz="4" w:space="0"/>
            </w:tcBorders>
            <w:vAlign w:val="center"/>
          </w:tcPr>
          <w:p w14:paraId="38743F7C">
            <w:pPr>
              <w:jc w:val="center"/>
              <w:rPr>
                <w:rFonts w:ascii="Times New Roman" w:hAnsi="Times New Roman" w:eastAsia="仿宋" w:cs="Times New Roman"/>
                <w:kern w:val="2"/>
              </w:rPr>
            </w:pPr>
            <w:r>
              <w:rPr>
                <w:rFonts w:ascii="Times New Roman" w:hAnsi="Times New Roman" w:eastAsia="仿宋" w:cs="Times New Roman"/>
                <w:kern w:val="2"/>
              </w:rPr>
              <w:t>100</w:t>
            </w:r>
          </w:p>
        </w:tc>
      </w:tr>
      <w:tr w14:paraId="6D0E616C">
        <w:tblPrEx>
          <w:tblCellMar>
            <w:top w:w="36" w:type="dxa"/>
            <w:left w:w="5" w:type="dxa"/>
            <w:bottom w:w="38" w:type="dxa"/>
            <w:right w:w="0" w:type="dxa"/>
          </w:tblCellMar>
        </w:tblPrEx>
        <w:trPr>
          <w:trHeight w:val="1265" w:hRule="atLeast"/>
          <w:jc w:val="center"/>
        </w:trPr>
        <w:tc>
          <w:tcPr>
            <w:tcW w:w="1556" w:type="dxa"/>
            <w:gridSpan w:val="2"/>
            <w:vMerge w:val="continue"/>
            <w:tcBorders>
              <w:left w:val="single" w:color="000000" w:sz="8" w:space="0"/>
              <w:right w:val="single" w:color="000000" w:sz="4" w:space="0"/>
            </w:tcBorders>
            <w:vAlign w:val="center"/>
          </w:tcPr>
          <w:p w14:paraId="4407420C">
            <w:pPr>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57D933C">
            <w:pPr>
              <w:jc w:val="center"/>
              <w:rPr>
                <w:rFonts w:ascii="Times New Roman" w:hAnsi="Times New Roman" w:eastAsia="仿宋" w:cs="Times New Roman"/>
                <w:kern w:val="2"/>
              </w:rPr>
            </w:pPr>
            <w:r>
              <w:rPr>
                <w:rFonts w:ascii="Times New Roman" w:hAnsi="Times New Roman" w:eastAsia="仿宋" w:cs="Times New Roman"/>
                <w:kern w:val="2"/>
              </w:rPr>
              <w:t>2</w:t>
            </w:r>
          </w:p>
        </w:tc>
        <w:tc>
          <w:tcPr>
            <w:tcW w:w="1864" w:type="dxa"/>
            <w:tcBorders>
              <w:top w:val="single" w:color="000000" w:sz="4" w:space="0"/>
              <w:left w:val="single" w:color="000000" w:sz="4" w:space="0"/>
              <w:bottom w:val="single" w:color="000000" w:sz="4" w:space="0"/>
              <w:right w:val="single" w:color="000000" w:sz="4" w:space="0"/>
            </w:tcBorders>
            <w:vAlign w:val="center"/>
          </w:tcPr>
          <w:p w14:paraId="1D864C93">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声环境功能区夜间达标率</w:t>
            </w:r>
          </w:p>
        </w:tc>
        <w:tc>
          <w:tcPr>
            <w:tcW w:w="709" w:type="dxa"/>
            <w:tcBorders>
              <w:top w:val="single" w:color="000000" w:sz="4" w:space="0"/>
              <w:left w:val="single" w:color="000000" w:sz="4" w:space="0"/>
              <w:bottom w:val="single" w:color="000000" w:sz="4" w:space="0"/>
              <w:right w:val="single" w:color="000000" w:sz="4" w:space="0"/>
            </w:tcBorders>
            <w:vAlign w:val="center"/>
          </w:tcPr>
          <w:p w14:paraId="44346CD5">
            <w:pPr>
              <w:jc w:val="center"/>
              <w:rPr>
                <w:rFonts w:ascii="Times New Roman" w:hAnsi="Times New Roman" w:eastAsia="仿宋" w:cs="Times New Roman"/>
                <w:kern w:val="2"/>
              </w:rPr>
            </w:pPr>
            <w:bookmarkStart w:id="147" w:name="OLE_LINK162"/>
            <w:r>
              <w:rPr>
                <w:rFonts w:ascii="Times New Roman" w:hAnsi="Times New Roman" w:eastAsia="仿宋" w:cs="Times New Roman"/>
                <w:kern w:val="2"/>
              </w:rPr>
              <w:t>%</w:t>
            </w:r>
            <w:bookmarkEnd w:id="147"/>
          </w:p>
        </w:tc>
        <w:tc>
          <w:tcPr>
            <w:tcW w:w="1276" w:type="dxa"/>
            <w:tcBorders>
              <w:top w:val="single" w:color="000000" w:sz="4" w:space="0"/>
              <w:left w:val="single" w:color="000000" w:sz="4" w:space="0"/>
              <w:bottom w:val="single" w:color="000000" w:sz="4" w:space="0"/>
              <w:right w:val="single" w:color="000000" w:sz="4" w:space="0"/>
            </w:tcBorders>
            <w:vAlign w:val="center"/>
          </w:tcPr>
          <w:p w14:paraId="2A400185">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7487127F">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7CDD8167">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2023年赤峰市生态环境局未下达相关考核任务</w:t>
            </w:r>
          </w:p>
        </w:tc>
        <w:tc>
          <w:tcPr>
            <w:tcW w:w="1386" w:type="dxa"/>
            <w:tcBorders>
              <w:top w:val="single" w:color="000000" w:sz="4" w:space="0"/>
              <w:left w:val="single" w:color="000000" w:sz="4" w:space="0"/>
              <w:bottom w:val="single" w:color="000000" w:sz="4" w:space="0"/>
              <w:right w:val="single" w:color="000000" w:sz="4" w:space="0"/>
            </w:tcBorders>
            <w:vAlign w:val="center"/>
          </w:tcPr>
          <w:p w14:paraId="58BA4294">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7C9912D6">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w:t>
            </w:r>
          </w:p>
        </w:tc>
        <w:tc>
          <w:tcPr>
            <w:tcW w:w="1559" w:type="dxa"/>
            <w:tcBorders>
              <w:top w:val="single" w:color="000000" w:sz="4" w:space="0"/>
              <w:left w:val="single" w:color="000000" w:sz="4" w:space="0"/>
              <w:bottom w:val="single" w:color="000000" w:sz="4" w:space="0"/>
              <w:right w:val="single" w:color="000000" w:sz="4" w:space="0"/>
            </w:tcBorders>
            <w:vAlign w:val="center"/>
          </w:tcPr>
          <w:p w14:paraId="17748B3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完成上级规定的考核任务，且保持稳定或持续提高</w:t>
            </w:r>
          </w:p>
        </w:tc>
      </w:tr>
      <w:tr w14:paraId="0F870271">
        <w:tblPrEx>
          <w:tblCellMar>
            <w:top w:w="36" w:type="dxa"/>
            <w:left w:w="5" w:type="dxa"/>
            <w:bottom w:w="38" w:type="dxa"/>
            <w:right w:w="0" w:type="dxa"/>
          </w:tblCellMar>
        </w:tblPrEx>
        <w:trPr>
          <w:trHeight w:val="632" w:hRule="atLeast"/>
          <w:jc w:val="center"/>
        </w:trPr>
        <w:tc>
          <w:tcPr>
            <w:tcW w:w="1556" w:type="dxa"/>
            <w:gridSpan w:val="2"/>
            <w:vMerge w:val="continue"/>
            <w:tcBorders>
              <w:left w:val="single" w:color="000000" w:sz="8" w:space="0"/>
              <w:right w:val="single" w:color="000000" w:sz="4" w:space="0"/>
            </w:tcBorders>
            <w:vAlign w:val="center"/>
          </w:tcPr>
          <w:p w14:paraId="5BBC6A43">
            <w:pPr>
              <w:jc w:val="both"/>
              <w:rPr>
                <w:rFonts w:ascii="Times New Roman" w:hAnsi="Times New Roman" w:eastAsia="仿宋" w:cs="Times New Roman"/>
                <w:kern w:val="2"/>
                <w:lang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6457A42">
            <w:pPr>
              <w:jc w:val="center"/>
              <w:rPr>
                <w:rFonts w:ascii="Times New Roman" w:hAnsi="Times New Roman" w:eastAsia="仿宋" w:cs="Times New Roman"/>
                <w:kern w:val="2"/>
              </w:rPr>
            </w:pPr>
            <w:r>
              <w:rPr>
                <w:rFonts w:ascii="Times New Roman" w:hAnsi="Times New Roman" w:eastAsia="仿宋" w:cs="Times New Roman"/>
                <w:kern w:val="2"/>
              </w:rPr>
              <w:t>3</w:t>
            </w:r>
          </w:p>
        </w:tc>
        <w:tc>
          <w:tcPr>
            <w:tcW w:w="1864" w:type="dxa"/>
            <w:tcBorders>
              <w:top w:val="single" w:color="000000" w:sz="4" w:space="0"/>
              <w:left w:val="single" w:color="000000" w:sz="4" w:space="0"/>
              <w:bottom w:val="single" w:color="000000" w:sz="4" w:space="0"/>
              <w:right w:val="single" w:color="000000" w:sz="4" w:space="0"/>
            </w:tcBorders>
            <w:vAlign w:val="center"/>
          </w:tcPr>
          <w:p w14:paraId="127021BA">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危险废物填埋处置量占比</w:t>
            </w:r>
          </w:p>
        </w:tc>
        <w:tc>
          <w:tcPr>
            <w:tcW w:w="709" w:type="dxa"/>
            <w:tcBorders>
              <w:top w:val="single" w:color="000000" w:sz="4" w:space="0"/>
              <w:left w:val="single" w:color="000000" w:sz="4" w:space="0"/>
              <w:bottom w:val="single" w:color="000000" w:sz="4" w:space="0"/>
              <w:right w:val="single" w:color="000000" w:sz="4" w:space="0"/>
            </w:tcBorders>
            <w:vAlign w:val="center"/>
          </w:tcPr>
          <w:p w14:paraId="72CA97B0">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612A20D7">
            <w:pPr>
              <w:jc w:val="center"/>
              <w:rPr>
                <w:rFonts w:ascii="Times New Roman" w:hAnsi="Times New Roman" w:eastAsia="仿宋" w:cs="Times New Roman"/>
                <w:kern w:val="2"/>
              </w:rPr>
            </w:pPr>
            <w:r>
              <w:rPr>
                <w:rFonts w:ascii="Times New Roman" w:hAnsi="Times New Roman" w:eastAsia="仿宋" w:cs="Times New Roman"/>
                <w:kern w:val="2"/>
              </w:rPr>
              <w:t>持续下降</w:t>
            </w:r>
          </w:p>
        </w:tc>
        <w:tc>
          <w:tcPr>
            <w:tcW w:w="1134" w:type="dxa"/>
            <w:tcBorders>
              <w:top w:val="single" w:color="000000" w:sz="4" w:space="0"/>
              <w:left w:val="single" w:color="000000" w:sz="4" w:space="0"/>
              <w:bottom w:val="single" w:color="000000" w:sz="4" w:space="0"/>
              <w:right w:val="single" w:color="000000" w:sz="4" w:space="0"/>
            </w:tcBorders>
            <w:vAlign w:val="center"/>
          </w:tcPr>
          <w:p w14:paraId="283AB325">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EF76084">
            <w:pPr>
              <w:jc w:val="both"/>
              <w:rPr>
                <w:rFonts w:ascii="Times New Roman" w:hAnsi="Times New Roman" w:eastAsia="仿宋" w:cs="Times New Roman"/>
                <w:b/>
                <w:kern w:val="2"/>
                <w:lang w:eastAsia="zh-CN"/>
              </w:rPr>
            </w:pPr>
            <w:r>
              <w:rPr>
                <w:rFonts w:ascii="Times New Roman" w:hAnsi="Times New Roman" w:eastAsia="仿宋" w:cs="Times New Roman"/>
                <w:kern w:val="2"/>
                <w:lang w:eastAsia="zh-CN"/>
              </w:rPr>
              <w:t>填埋处置量占比为0，全部综合利用</w:t>
            </w:r>
          </w:p>
        </w:tc>
        <w:tc>
          <w:tcPr>
            <w:tcW w:w="1386" w:type="dxa"/>
            <w:tcBorders>
              <w:top w:val="single" w:color="000000" w:sz="4" w:space="0"/>
              <w:left w:val="single" w:color="000000" w:sz="4" w:space="0"/>
              <w:bottom w:val="single" w:color="000000" w:sz="4" w:space="0"/>
              <w:right w:val="single" w:color="000000" w:sz="4" w:space="0"/>
            </w:tcBorders>
            <w:vAlign w:val="center"/>
          </w:tcPr>
          <w:p w14:paraId="233E8C22">
            <w:pPr>
              <w:jc w:val="center"/>
              <w:rPr>
                <w:rFonts w:ascii="Times New Roman" w:hAnsi="Times New Roman" w:eastAsia="仿宋" w:cs="Times New Roman"/>
                <w:kern w:val="2"/>
              </w:rPr>
            </w:pPr>
            <w:bookmarkStart w:id="148" w:name="OLE_LINK12"/>
            <w:bookmarkStart w:id="149" w:name="OLE_LINK13"/>
            <w:r>
              <w:rPr>
                <w:rFonts w:ascii="Times New Roman" w:hAnsi="Times New Roman" w:eastAsia="仿宋" w:cs="Times New Roman"/>
                <w:kern w:val="2"/>
              </w:rPr>
              <w:t>达标</w:t>
            </w:r>
            <w:bookmarkEnd w:id="148"/>
            <w:bookmarkEnd w:id="149"/>
          </w:p>
        </w:tc>
        <w:tc>
          <w:tcPr>
            <w:tcW w:w="1276" w:type="dxa"/>
            <w:tcBorders>
              <w:top w:val="single" w:color="000000" w:sz="4" w:space="0"/>
              <w:left w:val="single" w:color="000000" w:sz="4" w:space="0"/>
              <w:bottom w:val="single" w:color="000000" w:sz="4" w:space="0"/>
              <w:right w:val="single" w:color="000000" w:sz="4" w:space="0"/>
            </w:tcBorders>
            <w:vAlign w:val="center"/>
          </w:tcPr>
          <w:p w14:paraId="3192C8A6">
            <w:pPr>
              <w:jc w:val="center"/>
              <w:rPr>
                <w:rFonts w:ascii="Times New Roman" w:hAnsi="Times New Roman" w:eastAsia="仿宋" w:cs="Times New Roman"/>
                <w:kern w:val="2"/>
              </w:rPr>
            </w:pPr>
            <w:r>
              <w:rPr>
                <w:rFonts w:ascii="Times New Roman" w:hAnsi="Times New Roman" w:eastAsia="仿宋" w:cs="Times New Roman"/>
                <w:kern w:val="2"/>
              </w:rPr>
              <w:t>持续下降</w:t>
            </w:r>
          </w:p>
        </w:tc>
        <w:tc>
          <w:tcPr>
            <w:tcW w:w="1559" w:type="dxa"/>
            <w:tcBorders>
              <w:top w:val="single" w:color="000000" w:sz="4" w:space="0"/>
              <w:left w:val="single" w:color="000000" w:sz="4" w:space="0"/>
              <w:bottom w:val="single" w:color="000000" w:sz="4" w:space="0"/>
              <w:right w:val="single" w:color="000000" w:sz="4" w:space="0"/>
            </w:tcBorders>
            <w:vAlign w:val="center"/>
          </w:tcPr>
          <w:p w14:paraId="6728490A">
            <w:pPr>
              <w:jc w:val="center"/>
              <w:rPr>
                <w:rFonts w:ascii="Times New Roman" w:hAnsi="Times New Roman" w:eastAsia="仿宋" w:cs="Times New Roman"/>
                <w:kern w:val="2"/>
              </w:rPr>
            </w:pPr>
            <w:r>
              <w:rPr>
                <w:rFonts w:ascii="Times New Roman" w:hAnsi="Times New Roman" w:eastAsia="仿宋" w:cs="Times New Roman"/>
                <w:kern w:val="2"/>
              </w:rPr>
              <w:t>持续下降</w:t>
            </w:r>
          </w:p>
        </w:tc>
      </w:tr>
      <w:tr w14:paraId="5EC7B57F">
        <w:tblPrEx>
          <w:tblCellMar>
            <w:top w:w="36" w:type="dxa"/>
            <w:left w:w="5" w:type="dxa"/>
            <w:bottom w:w="38" w:type="dxa"/>
            <w:right w:w="0" w:type="dxa"/>
          </w:tblCellMar>
        </w:tblPrEx>
        <w:trPr>
          <w:trHeight w:val="894" w:hRule="atLeast"/>
          <w:jc w:val="center"/>
        </w:trPr>
        <w:tc>
          <w:tcPr>
            <w:tcW w:w="1556" w:type="dxa"/>
            <w:gridSpan w:val="2"/>
            <w:vMerge w:val="continue"/>
            <w:tcBorders>
              <w:left w:val="single" w:color="000000" w:sz="8" w:space="0"/>
              <w:right w:val="single" w:color="000000" w:sz="4" w:space="0"/>
            </w:tcBorders>
            <w:vAlign w:val="center"/>
          </w:tcPr>
          <w:p w14:paraId="49755B8D">
            <w:pPr>
              <w:jc w:val="both"/>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6461A66">
            <w:pPr>
              <w:jc w:val="center"/>
              <w:rPr>
                <w:rFonts w:ascii="Times New Roman" w:hAnsi="Times New Roman" w:eastAsia="仿宋" w:cs="Times New Roman"/>
                <w:kern w:val="2"/>
              </w:rPr>
            </w:pPr>
            <w:r>
              <w:rPr>
                <w:rFonts w:ascii="Times New Roman" w:hAnsi="Times New Roman" w:eastAsia="仿宋" w:cs="Times New Roman"/>
                <w:kern w:val="2"/>
              </w:rPr>
              <w:t>4</w:t>
            </w:r>
          </w:p>
        </w:tc>
        <w:tc>
          <w:tcPr>
            <w:tcW w:w="1864" w:type="dxa"/>
            <w:tcBorders>
              <w:top w:val="single" w:color="000000" w:sz="4" w:space="0"/>
              <w:left w:val="single" w:color="000000" w:sz="4" w:space="0"/>
              <w:bottom w:val="single" w:color="000000" w:sz="4" w:space="0"/>
              <w:right w:val="single" w:color="000000" w:sz="4" w:space="0"/>
            </w:tcBorders>
            <w:vAlign w:val="center"/>
          </w:tcPr>
          <w:p w14:paraId="3A6F7D4B">
            <w:pPr>
              <w:jc w:val="center"/>
              <w:rPr>
                <w:rFonts w:ascii="Times New Roman" w:hAnsi="Times New Roman" w:eastAsia="仿宋" w:cs="Times New Roman"/>
                <w:kern w:val="2"/>
              </w:rPr>
            </w:pPr>
            <w:bookmarkStart w:id="150" w:name="OLE_LINK113"/>
            <w:bookmarkStart w:id="151" w:name="OLE_LINK116"/>
            <w:r>
              <w:rPr>
                <w:rFonts w:ascii="Times New Roman" w:hAnsi="Times New Roman" w:eastAsia="仿宋" w:cs="Times New Roman"/>
                <w:kern w:val="2"/>
              </w:rPr>
              <w:t>河湖岸线保护率</w:t>
            </w:r>
            <w:bookmarkEnd w:id="150"/>
            <w:bookmarkEnd w:id="151"/>
          </w:p>
        </w:tc>
        <w:tc>
          <w:tcPr>
            <w:tcW w:w="709" w:type="dxa"/>
            <w:tcBorders>
              <w:top w:val="single" w:color="000000" w:sz="4" w:space="0"/>
              <w:left w:val="single" w:color="000000" w:sz="4" w:space="0"/>
              <w:bottom w:val="single" w:color="000000" w:sz="4" w:space="0"/>
              <w:right w:val="single" w:color="000000" w:sz="4" w:space="0"/>
            </w:tcBorders>
            <w:vAlign w:val="center"/>
          </w:tcPr>
          <w:p w14:paraId="62266F99">
            <w:pPr>
              <w:jc w:val="center"/>
              <w:rPr>
                <w:rFonts w:ascii="Times New Roman" w:hAnsi="Times New Roman" w:eastAsia="仿宋" w:cs="Times New Roman"/>
                <w:kern w:val="2"/>
              </w:rPr>
            </w:pPr>
            <w:r>
              <w:rPr>
                <w:rFonts w:ascii="Times New Roman" w:hAnsi="Times New Roman" w:eastAsia="仿宋" w:cs="Times New Roman"/>
                <w:kern w:val="2"/>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77943A1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134" w:type="dxa"/>
            <w:tcBorders>
              <w:top w:val="single" w:color="000000" w:sz="4" w:space="0"/>
              <w:left w:val="single" w:color="000000" w:sz="4" w:space="0"/>
              <w:bottom w:val="single" w:color="000000" w:sz="4" w:space="0"/>
              <w:right w:val="single" w:color="000000" w:sz="4" w:space="0"/>
            </w:tcBorders>
            <w:vAlign w:val="center"/>
          </w:tcPr>
          <w:p w14:paraId="0C865C34">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198BFF80">
            <w:pPr>
              <w:jc w:val="both"/>
              <w:rPr>
                <w:rFonts w:ascii="Times New Roman" w:hAnsi="Times New Roman" w:eastAsia="仿宋" w:cs="Times New Roman"/>
                <w:kern w:val="2"/>
                <w:lang w:eastAsia="zh-CN"/>
              </w:rPr>
            </w:pPr>
            <w:r>
              <w:rPr>
                <w:rFonts w:ascii="Times New Roman" w:hAnsi="Times New Roman" w:eastAsia="仿宋" w:cs="Times New Roman"/>
                <w:kern w:val="2"/>
                <w:lang w:eastAsia="zh-CN"/>
              </w:rPr>
              <w:t>十四五期间，上级未对翁牛特旗河湖岸线保护率下达相应任务要求，2023年翁牛特旗河湖岸线保护率未93.26%</w:t>
            </w:r>
          </w:p>
        </w:tc>
        <w:tc>
          <w:tcPr>
            <w:tcW w:w="1386" w:type="dxa"/>
            <w:tcBorders>
              <w:top w:val="single" w:color="000000" w:sz="4" w:space="0"/>
              <w:left w:val="single" w:color="000000" w:sz="4" w:space="0"/>
              <w:bottom w:val="single" w:color="000000" w:sz="4" w:space="0"/>
              <w:right w:val="single" w:color="000000" w:sz="4" w:space="0"/>
            </w:tcBorders>
            <w:vAlign w:val="center"/>
          </w:tcPr>
          <w:p w14:paraId="2AD5855A">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5C699BD8">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5A8C989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完成上级规定的考核任务</w:t>
            </w:r>
          </w:p>
        </w:tc>
      </w:tr>
      <w:tr w14:paraId="61BF7A0C">
        <w:tblPrEx>
          <w:tblCellMar>
            <w:top w:w="36" w:type="dxa"/>
            <w:left w:w="5" w:type="dxa"/>
            <w:bottom w:w="38" w:type="dxa"/>
            <w:right w:w="0" w:type="dxa"/>
          </w:tblCellMar>
        </w:tblPrEx>
        <w:trPr>
          <w:trHeight w:val="1257" w:hRule="atLeast"/>
          <w:jc w:val="center"/>
        </w:trPr>
        <w:tc>
          <w:tcPr>
            <w:tcW w:w="1556" w:type="dxa"/>
            <w:gridSpan w:val="2"/>
            <w:vMerge w:val="continue"/>
            <w:tcBorders>
              <w:left w:val="single" w:color="000000" w:sz="8" w:space="0"/>
              <w:right w:val="single" w:color="000000" w:sz="4" w:space="0"/>
            </w:tcBorders>
            <w:vAlign w:val="center"/>
          </w:tcPr>
          <w:p w14:paraId="2E8AA9A5">
            <w:pPr>
              <w:jc w:val="both"/>
              <w:rPr>
                <w:rFonts w:ascii="Times New Roman" w:hAnsi="Times New Roman" w:eastAsia="仿宋" w:cs="Times New Roman"/>
                <w:kern w:val="2"/>
                <w:lang w:eastAsia="zh-CN"/>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89AF6FC">
            <w:pPr>
              <w:jc w:val="center"/>
              <w:rPr>
                <w:rFonts w:ascii="Times New Roman" w:hAnsi="Times New Roman" w:eastAsia="仿宋" w:cs="Times New Roman"/>
                <w:kern w:val="2"/>
              </w:rPr>
            </w:pPr>
            <w:r>
              <w:rPr>
                <w:rFonts w:ascii="Times New Roman" w:hAnsi="Times New Roman" w:eastAsia="仿宋" w:cs="Times New Roman"/>
                <w:kern w:val="2"/>
              </w:rPr>
              <w:t>5</w:t>
            </w:r>
          </w:p>
        </w:tc>
        <w:tc>
          <w:tcPr>
            <w:tcW w:w="1864" w:type="dxa"/>
            <w:tcBorders>
              <w:top w:val="single" w:color="000000" w:sz="4" w:space="0"/>
              <w:left w:val="single" w:color="000000" w:sz="4" w:space="0"/>
              <w:bottom w:val="single" w:color="000000" w:sz="4" w:space="0"/>
              <w:right w:val="single" w:color="000000" w:sz="4" w:space="0"/>
            </w:tcBorders>
            <w:vAlign w:val="center"/>
          </w:tcPr>
          <w:p w14:paraId="0C01E56F">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规模以下畜禽粪污集中收运利用体系</w:t>
            </w:r>
          </w:p>
        </w:tc>
        <w:tc>
          <w:tcPr>
            <w:tcW w:w="709" w:type="dxa"/>
            <w:tcBorders>
              <w:top w:val="single" w:color="000000" w:sz="4" w:space="0"/>
              <w:left w:val="single" w:color="000000" w:sz="4" w:space="0"/>
              <w:bottom w:val="single" w:color="000000" w:sz="4" w:space="0"/>
              <w:right w:val="single" w:color="000000" w:sz="4" w:space="0"/>
            </w:tcBorders>
            <w:vAlign w:val="center"/>
          </w:tcPr>
          <w:p w14:paraId="3FCB9C88">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0140D2A5">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134" w:type="dxa"/>
            <w:tcBorders>
              <w:top w:val="single" w:color="000000" w:sz="4" w:space="0"/>
              <w:left w:val="single" w:color="000000" w:sz="4" w:space="0"/>
              <w:bottom w:val="single" w:color="000000" w:sz="4" w:space="0"/>
              <w:right w:val="single" w:color="000000" w:sz="4" w:space="0"/>
            </w:tcBorders>
            <w:vAlign w:val="center"/>
          </w:tcPr>
          <w:p w14:paraId="2EDDB120">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09E0E069">
            <w:pPr>
              <w:jc w:val="both"/>
              <w:rPr>
                <w:rFonts w:ascii="Times New Roman" w:hAnsi="Times New Roman" w:eastAsia="仿宋" w:cs="Times New Roman"/>
                <w:spacing w:val="-6"/>
                <w:kern w:val="2"/>
                <w:lang w:eastAsia="zh-CN"/>
              </w:rPr>
            </w:pPr>
            <w:bookmarkStart w:id="152" w:name="OLE_LINK409"/>
            <w:bookmarkStart w:id="153" w:name="OLE_LINK410"/>
            <w:r>
              <w:rPr>
                <w:rFonts w:ascii="Times New Roman" w:hAnsi="Times New Roman" w:eastAsia="仿宋" w:cs="Times New Roman"/>
                <w:spacing w:val="-6"/>
                <w:kern w:val="2"/>
                <w:lang w:eastAsia="zh-CN"/>
              </w:rPr>
              <w:t>2023年印发《翁牛特旗畜禽养殖污染防治规划》，已实施畜禽粪污资源化利用整旗推进项目</w:t>
            </w:r>
            <w:bookmarkEnd w:id="152"/>
            <w:bookmarkEnd w:id="153"/>
          </w:p>
        </w:tc>
        <w:tc>
          <w:tcPr>
            <w:tcW w:w="1386" w:type="dxa"/>
            <w:tcBorders>
              <w:top w:val="single" w:color="000000" w:sz="4" w:space="0"/>
              <w:left w:val="single" w:color="000000" w:sz="4" w:space="0"/>
              <w:bottom w:val="single" w:color="000000" w:sz="4" w:space="0"/>
              <w:right w:val="single" w:color="000000" w:sz="4" w:space="0"/>
            </w:tcBorders>
            <w:vAlign w:val="center"/>
          </w:tcPr>
          <w:p w14:paraId="130DDB93">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15AD53CF">
            <w:pPr>
              <w:jc w:val="center"/>
              <w:rPr>
                <w:rFonts w:ascii="Times New Roman" w:hAnsi="Times New Roman" w:eastAsia="仿宋" w:cs="Times New Roman"/>
                <w:kern w:val="2"/>
              </w:rPr>
            </w:pPr>
            <w:r>
              <w:rPr>
                <w:rFonts w:ascii="Times New Roman" w:hAnsi="Times New Roman" w:eastAsia="仿宋" w:cs="Times New Roman"/>
                <w:kern w:val="2"/>
              </w:rPr>
              <w:t>建立</w:t>
            </w:r>
          </w:p>
        </w:tc>
        <w:tc>
          <w:tcPr>
            <w:tcW w:w="1559" w:type="dxa"/>
            <w:tcBorders>
              <w:top w:val="single" w:color="000000" w:sz="4" w:space="0"/>
              <w:left w:val="single" w:color="000000" w:sz="4" w:space="0"/>
              <w:bottom w:val="single" w:color="000000" w:sz="4" w:space="0"/>
              <w:right w:val="single" w:color="000000" w:sz="4" w:space="0"/>
            </w:tcBorders>
            <w:vAlign w:val="center"/>
          </w:tcPr>
          <w:p w14:paraId="3574ED47">
            <w:pPr>
              <w:jc w:val="center"/>
              <w:rPr>
                <w:rFonts w:ascii="Times New Roman" w:hAnsi="Times New Roman" w:eastAsia="仿宋" w:cs="Times New Roman"/>
                <w:kern w:val="2"/>
              </w:rPr>
            </w:pPr>
            <w:r>
              <w:rPr>
                <w:rFonts w:ascii="Times New Roman" w:hAnsi="Times New Roman" w:eastAsia="仿宋" w:cs="Times New Roman"/>
                <w:kern w:val="2"/>
              </w:rPr>
              <w:t>建立</w:t>
            </w:r>
          </w:p>
        </w:tc>
      </w:tr>
      <w:tr w14:paraId="6FC9C3CC">
        <w:tblPrEx>
          <w:tblCellMar>
            <w:top w:w="36" w:type="dxa"/>
            <w:left w:w="5" w:type="dxa"/>
            <w:bottom w:w="38" w:type="dxa"/>
            <w:right w:w="0" w:type="dxa"/>
          </w:tblCellMar>
        </w:tblPrEx>
        <w:trPr>
          <w:trHeight w:val="624" w:hRule="atLeast"/>
          <w:jc w:val="center"/>
        </w:trPr>
        <w:tc>
          <w:tcPr>
            <w:tcW w:w="1556" w:type="dxa"/>
            <w:gridSpan w:val="2"/>
            <w:vMerge w:val="continue"/>
            <w:tcBorders>
              <w:left w:val="single" w:color="000000" w:sz="8" w:space="0"/>
              <w:bottom w:val="single" w:color="auto" w:sz="4" w:space="0"/>
              <w:right w:val="single" w:color="000000" w:sz="4" w:space="0"/>
            </w:tcBorders>
            <w:vAlign w:val="center"/>
          </w:tcPr>
          <w:p w14:paraId="09B9F7D4">
            <w:pPr>
              <w:jc w:val="both"/>
              <w:rPr>
                <w:rFonts w:ascii="Times New Roman" w:hAnsi="Times New Roman" w:eastAsia="仿宋" w:cs="Times New Roman"/>
                <w:kern w:val="2"/>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E652ED9">
            <w:pPr>
              <w:jc w:val="center"/>
              <w:rPr>
                <w:rFonts w:ascii="Times New Roman" w:hAnsi="Times New Roman" w:eastAsia="仿宋" w:cs="Times New Roman"/>
                <w:kern w:val="2"/>
              </w:rPr>
            </w:pPr>
            <w:r>
              <w:rPr>
                <w:rFonts w:ascii="Times New Roman" w:hAnsi="Times New Roman" w:eastAsia="仿宋" w:cs="Times New Roman"/>
                <w:kern w:val="2"/>
              </w:rPr>
              <w:t>6</w:t>
            </w:r>
          </w:p>
        </w:tc>
        <w:tc>
          <w:tcPr>
            <w:tcW w:w="1864" w:type="dxa"/>
            <w:tcBorders>
              <w:top w:val="single" w:color="000000" w:sz="4" w:space="0"/>
              <w:left w:val="single" w:color="000000" w:sz="4" w:space="0"/>
              <w:bottom w:val="single" w:color="000000" w:sz="4" w:space="0"/>
              <w:right w:val="single" w:color="000000" w:sz="4" w:space="0"/>
            </w:tcBorders>
            <w:vAlign w:val="center"/>
          </w:tcPr>
          <w:p w14:paraId="2DA01ECA">
            <w:pPr>
              <w:jc w:val="center"/>
              <w:rPr>
                <w:rFonts w:ascii="Times New Roman" w:hAnsi="Times New Roman" w:eastAsia="仿宋" w:cs="Times New Roman"/>
                <w:kern w:val="2"/>
              </w:rPr>
            </w:pPr>
            <w:r>
              <w:rPr>
                <w:rFonts w:ascii="Times New Roman" w:hAnsi="Times New Roman" w:eastAsia="仿宋" w:cs="Times New Roman"/>
                <w:kern w:val="2"/>
              </w:rPr>
              <w:t>耕地土壤有机质</w:t>
            </w:r>
          </w:p>
          <w:p w14:paraId="4AC30277">
            <w:pPr>
              <w:jc w:val="center"/>
              <w:rPr>
                <w:rFonts w:ascii="Times New Roman" w:hAnsi="Times New Roman" w:eastAsia="仿宋" w:cs="Times New Roman"/>
                <w:kern w:val="2"/>
              </w:rPr>
            </w:pPr>
            <w:r>
              <w:rPr>
                <w:rFonts w:ascii="Times New Roman" w:hAnsi="Times New Roman" w:eastAsia="仿宋" w:cs="Times New Roman"/>
                <w:kern w:val="2"/>
              </w:rPr>
              <w:t>含量</w:t>
            </w:r>
          </w:p>
        </w:tc>
        <w:tc>
          <w:tcPr>
            <w:tcW w:w="709" w:type="dxa"/>
            <w:tcBorders>
              <w:top w:val="single" w:color="000000" w:sz="4" w:space="0"/>
              <w:left w:val="single" w:color="000000" w:sz="4" w:space="0"/>
              <w:bottom w:val="single" w:color="000000" w:sz="4" w:space="0"/>
              <w:right w:val="single" w:color="000000" w:sz="4" w:space="0"/>
            </w:tcBorders>
            <w:vAlign w:val="center"/>
          </w:tcPr>
          <w:p w14:paraId="36425B95">
            <w:pPr>
              <w:jc w:val="center"/>
              <w:rPr>
                <w:rFonts w:ascii="Times New Roman" w:hAnsi="Times New Roman" w:eastAsia="仿宋" w:cs="Times New Roman"/>
                <w:kern w:val="2"/>
              </w:rPr>
            </w:pPr>
            <w:r>
              <w:rPr>
                <w:rFonts w:ascii="Times New Roman" w:hAnsi="Times New Roman" w:eastAsia="仿宋" w:cs="Times New Roman"/>
                <w:kern w:val="2"/>
              </w:rPr>
              <w:t>g/kg</w:t>
            </w:r>
          </w:p>
        </w:tc>
        <w:tc>
          <w:tcPr>
            <w:tcW w:w="1276" w:type="dxa"/>
            <w:tcBorders>
              <w:top w:val="single" w:color="000000" w:sz="4" w:space="0"/>
              <w:left w:val="single" w:color="000000" w:sz="4" w:space="0"/>
              <w:bottom w:val="single" w:color="000000" w:sz="4" w:space="0"/>
              <w:right w:val="single" w:color="000000" w:sz="4" w:space="0"/>
            </w:tcBorders>
            <w:vAlign w:val="center"/>
          </w:tcPr>
          <w:p w14:paraId="2AC0407E">
            <w:pPr>
              <w:jc w:val="center"/>
              <w:rPr>
                <w:rFonts w:ascii="Times New Roman" w:hAnsi="Times New Roman" w:eastAsia="仿宋" w:cs="Times New Roman"/>
                <w:kern w:val="2"/>
              </w:rPr>
            </w:pPr>
            <w:r>
              <w:rPr>
                <w:rFonts w:ascii="Times New Roman" w:hAnsi="Times New Roman" w:eastAsia="仿宋" w:cs="Times New Roman"/>
                <w:kern w:val="2"/>
              </w:rPr>
              <w:t>保持稳定或有所提高</w:t>
            </w:r>
          </w:p>
        </w:tc>
        <w:tc>
          <w:tcPr>
            <w:tcW w:w="1134" w:type="dxa"/>
            <w:tcBorders>
              <w:top w:val="single" w:color="000000" w:sz="4" w:space="0"/>
              <w:left w:val="single" w:color="000000" w:sz="4" w:space="0"/>
              <w:bottom w:val="single" w:color="000000" w:sz="4" w:space="0"/>
              <w:right w:val="single" w:color="000000" w:sz="4" w:space="0"/>
            </w:tcBorders>
            <w:vAlign w:val="center"/>
          </w:tcPr>
          <w:p w14:paraId="2C76E1B0">
            <w:pPr>
              <w:jc w:val="center"/>
              <w:rPr>
                <w:rFonts w:ascii="Times New Roman" w:hAnsi="Times New Roman" w:eastAsia="仿宋" w:cs="Times New Roman"/>
                <w:kern w:val="2"/>
              </w:rPr>
            </w:pPr>
            <w:r>
              <w:rPr>
                <w:rFonts w:ascii="Times New Roman" w:hAnsi="Times New Roman" w:eastAsia="仿宋" w:cs="Times New Roman"/>
                <w:kern w:val="2"/>
              </w:rPr>
              <w:t>参考性</w:t>
            </w:r>
          </w:p>
        </w:tc>
        <w:tc>
          <w:tcPr>
            <w:tcW w:w="2835" w:type="dxa"/>
            <w:tcBorders>
              <w:top w:val="single" w:color="000000" w:sz="4" w:space="0"/>
              <w:left w:val="single" w:color="000000" w:sz="4" w:space="0"/>
              <w:bottom w:val="single" w:color="000000" w:sz="4" w:space="0"/>
              <w:right w:val="single" w:color="000000" w:sz="4" w:space="0"/>
            </w:tcBorders>
            <w:vAlign w:val="center"/>
          </w:tcPr>
          <w:p w14:paraId="67BCF474">
            <w:pPr>
              <w:jc w:val="center"/>
              <w:rPr>
                <w:rFonts w:ascii="Times New Roman" w:hAnsi="Times New Roman" w:eastAsia="仿宋" w:cs="Times New Roman"/>
                <w:kern w:val="2"/>
              </w:rPr>
            </w:pPr>
            <w:r>
              <w:rPr>
                <w:rFonts w:ascii="Times New Roman" w:hAnsi="Times New Roman" w:eastAsia="仿宋" w:cs="Times New Roman"/>
                <w:kern w:val="2"/>
              </w:rPr>
              <w:t>2020年-2023年耕地土壤有机质含量保持在14.14 g/kg左右</w:t>
            </w:r>
          </w:p>
        </w:tc>
        <w:tc>
          <w:tcPr>
            <w:tcW w:w="1386" w:type="dxa"/>
            <w:tcBorders>
              <w:top w:val="single" w:color="000000" w:sz="4" w:space="0"/>
              <w:left w:val="single" w:color="000000" w:sz="4" w:space="0"/>
              <w:bottom w:val="single" w:color="000000" w:sz="4" w:space="0"/>
              <w:right w:val="single" w:color="000000" w:sz="4" w:space="0"/>
            </w:tcBorders>
            <w:vAlign w:val="center"/>
          </w:tcPr>
          <w:p w14:paraId="56FAE5F9">
            <w:pPr>
              <w:jc w:val="center"/>
              <w:rPr>
                <w:rFonts w:ascii="Times New Roman" w:hAnsi="Times New Roman" w:eastAsia="仿宋" w:cs="Times New Roman"/>
                <w:kern w:val="2"/>
              </w:rPr>
            </w:pPr>
            <w:r>
              <w:rPr>
                <w:rFonts w:ascii="Times New Roman" w:hAnsi="Times New Roman" w:eastAsia="仿宋" w:cs="Times New Roman"/>
                <w:kern w:val="2"/>
              </w:rPr>
              <w:t>达标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72556782">
            <w:pPr>
              <w:jc w:val="center"/>
              <w:rPr>
                <w:rFonts w:ascii="Times New Roman" w:hAnsi="Times New Roman" w:eastAsia="仿宋" w:cs="Times New Roman"/>
                <w:kern w:val="2"/>
              </w:rPr>
            </w:pPr>
            <w:r>
              <w:rPr>
                <w:rFonts w:ascii="Times New Roman" w:hAnsi="Times New Roman" w:eastAsia="仿宋" w:cs="Times New Roman"/>
                <w:kern w:val="2"/>
              </w:rPr>
              <w:t>保持稳定或有所提高</w:t>
            </w:r>
          </w:p>
        </w:tc>
        <w:tc>
          <w:tcPr>
            <w:tcW w:w="1559" w:type="dxa"/>
            <w:tcBorders>
              <w:top w:val="single" w:color="000000" w:sz="4" w:space="0"/>
              <w:left w:val="single" w:color="000000" w:sz="4" w:space="0"/>
              <w:bottom w:val="single" w:color="000000" w:sz="4" w:space="0"/>
              <w:right w:val="single" w:color="000000" w:sz="4" w:space="0"/>
            </w:tcBorders>
            <w:vAlign w:val="center"/>
          </w:tcPr>
          <w:p w14:paraId="5170CF33">
            <w:pPr>
              <w:jc w:val="center"/>
              <w:rPr>
                <w:rFonts w:ascii="Times New Roman" w:hAnsi="Times New Roman" w:eastAsia="仿宋" w:cs="Times New Roman"/>
                <w:kern w:val="2"/>
              </w:rPr>
            </w:pPr>
            <w:r>
              <w:rPr>
                <w:rFonts w:ascii="Times New Roman" w:hAnsi="Times New Roman" w:eastAsia="仿宋" w:cs="Times New Roman"/>
                <w:kern w:val="2"/>
              </w:rPr>
              <w:t>保持稳定或有所提高</w:t>
            </w:r>
          </w:p>
        </w:tc>
      </w:tr>
      <w:tr w14:paraId="55B64458">
        <w:tblPrEx>
          <w:tblCellMar>
            <w:top w:w="36" w:type="dxa"/>
            <w:left w:w="5" w:type="dxa"/>
            <w:bottom w:w="38" w:type="dxa"/>
            <w:right w:w="0" w:type="dxa"/>
          </w:tblCellMar>
        </w:tblPrEx>
        <w:trPr>
          <w:trHeight w:val="350" w:hRule="atLeast"/>
          <w:jc w:val="center"/>
        </w:trPr>
        <w:tc>
          <w:tcPr>
            <w:tcW w:w="1556" w:type="dxa"/>
            <w:gridSpan w:val="2"/>
            <w:tcBorders>
              <w:top w:val="single" w:color="auto" w:sz="4" w:space="0"/>
              <w:left w:val="single" w:color="000000" w:sz="8" w:space="0"/>
              <w:bottom w:val="single" w:color="auto" w:sz="4" w:space="0"/>
              <w:right w:val="single" w:color="000000" w:sz="4" w:space="0"/>
            </w:tcBorders>
            <w:vAlign w:val="center"/>
          </w:tcPr>
          <w:p w14:paraId="08D9D24D">
            <w:pPr>
              <w:jc w:val="center"/>
              <w:rPr>
                <w:rFonts w:ascii="Times New Roman" w:hAnsi="Times New Roman" w:eastAsia="仿宋" w:cs="Times New Roman"/>
                <w:kern w:val="2"/>
              </w:rPr>
            </w:pPr>
            <w:bookmarkStart w:id="154" w:name="_Hlk175750337"/>
            <w:r>
              <w:rPr>
                <w:rFonts w:ascii="Times New Roman" w:hAnsi="Times New Roman" w:eastAsia="仿宋" w:cs="Times New Roman"/>
                <w:kern w:val="2"/>
                <w:lang w:eastAsia="zh-CN"/>
              </w:rPr>
              <w:t>特色指标</w:t>
            </w:r>
          </w:p>
        </w:tc>
        <w:tc>
          <w:tcPr>
            <w:tcW w:w="712" w:type="dxa"/>
            <w:tcBorders>
              <w:top w:val="single" w:color="000000" w:sz="4" w:space="0"/>
              <w:left w:val="single" w:color="000000" w:sz="4" w:space="0"/>
              <w:bottom w:val="single" w:color="000000" w:sz="4" w:space="0"/>
              <w:right w:val="single" w:color="000000" w:sz="4" w:space="0"/>
            </w:tcBorders>
            <w:vAlign w:val="center"/>
          </w:tcPr>
          <w:p w14:paraId="27658966">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1</w:t>
            </w:r>
          </w:p>
        </w:tc>
        <w:tc>
          <w:tcPr>
            <w:tcW w:w="1864" w:type="dxa"/>
            <w:tcBorders>
              <w:top w:val="single" w:color="000000" w:sz="4" w:space="0"/>
              <w:left w:val="single" w:color="000000" w:sz="4" w:space="0"/>
              <w:bottom w:val="single" w:color="000000" w:sz="4" w:space="0"/>
              <w:right w:val="single" w:color="000000" w:sz="4" w:space="0"/>
            </w:tcBorders>
            <w:vAlign w:val="center"/>
          </w:tcPr>
          <w:p w14:paraId="242E97F1">
            <w:pPr>
              <w:jc w:val="center"/>
              <w:rPr>
                <w:rFonts w:ascii="Times New Roman" w:hAnsi="Times New Roman" w:eastAsia="仿宋" w:cs="Times New Roman"/>
                <w:kern w:val="2"/>
                <w:lang w:eastAsia="zh-CN"/>
              </w:rPr>
            </w:pPr>
            <w:bookmarkStart w:id="155" w:name="OLE_LINK117"/>
            <w:bookmarkStart w:id="156" w:name="OLE_LINK118"/>
            <w:r>
              <w:rPr>
                <w:rFonts w:ascii="Times New Roman" w:hAnsi="Times New Roman" w:eastAsia="仿宋" w:cs="Times New Roman"/>
                <w:kern w:val="2"/>
                <w:lang w:eastAsia="zh-CN"/>
              </w:rPr>
              <w:t>可治理沙化土地</w:t>
            </w:r>
          </w:p>
          <w:p w14:paraId="7D54D515">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治理率</w:t>
            </w:r>
            <w:bookmarkEnd w:id="155"/>
            <w:bookmarkEnd w:id="156"/>
          </w:p>
        </w:tc>
        <w:tc>
          <w:tcPr>
            <w:tcW w:w="709" w:type="dxa"/>
            <w:tcBorders>
              <w:top w:val="single" w:color="000000" w:sz="4" w:space="0"/>
              <w:left w:val="single" w:color="000000" w:sz="4" w:space="0"/>
              <w:bottom w:val="single" w:color="000000" w:sz="4" w:space="0"/>
              <w:right w:val="single" w:color="000000" w:sz="4" w:space="0"/>
            </w:tcBorders>
            <w:vAlign w:val="center"/>
          </w:tcPr>
          <w:p w14:paraId="3A7F8E53">
            <w:pPr>
              <w:jc w:val="center"/>
              <w:rPr>
                <w:rFonts w:ascii="Times New Roman" w:hAnsi="Times New Roman" w:eastAsia="仿宋" w:cs="Times New Roman"/>
                <w:kern w:val="2"/>
                <w:lang w:eastAsia="zh-CN"/>
              </w:rPr>
            </w:pPr>
            <w:bookmarkStart w:id="157" w:name="OLE_LINK3"/>
            <w:bookmarkStart w:id="158" w:name="OLE_LINK4"/>
            <w:r>
              <w:rPr>
                <w:rFonts w:ascii="Times New Roman" w:hAnsi="Times New Roman" w:eastAsia="仿宋" w:cs="Times New Roman"/>
                <w:kern w:val="2"/>
              </w:rPr>
              <w:t>%</w:t>
            </w:r>
            <w:bookmarkEnd w:id="157"/>
            <w:bookmarkEnd w:id="158"/>
          </w:p>
        </w:tc>
        <w:tc>
          <w:tcPr>
            <w:tcW w:w="1276" w:type="dxa"/>
            <w:tcBorders>
              <w:top w:val="single" w:color="000000" w:sz="4" w:space="0"/>
              <w:left w:val="single" w:color="000000" w:sz="4" w:space="0"/>
              <w:bottom w:val="single" w:color="000000" w:sz="4" w:space="0"/>
              <w:right w:val="single" w:color="000000" w:sz="4" w:space="0"/>
            </w:tcBorders>
            <w:vAlign w:val="center"/>
          </w:tcPr>
          <w:p w14:paraId="4A83DE31">
            <w:pPr>
              <w:jc w:val="center"/>
              <w:rPr>
                <w:rFonts w:ascii="Times New Roman" w:hAnsi="Times New Roman" w:eastAsia="仿宋" w:cs="Times New Roman"/>
                <w:kern w:val="2"/>
                <w:lang w:eastAsia="zh-CN"/>
              </w:rPr>
            </w:pPr>
            <w:r>
              <w:rPr>
                <w:rFonts w:ascii="Times New Roman" w:hAnsi="Times New Roman" w:eastAsia="仿宋" w:cs="Times New Roman"/>
                <w:kern w:val="2"/>
              </w:rPr>
              <w:t>75.51%</w:t>
            </w:r>
          </w:p>
        </w:tc>
        <w:tc>
          <w:tcPr>
            <w:tcW w:w="1134" w:type="dxa"/>
            <w:tcBorders>
              <w:top w:val="single" w:color="000000" w:sz="4" w:space="0"/>
              <w:left w:val="single" w:color="000000" w:sz="4" w:space="0"/>
              <w:bottom w:val="single" w:color="000000" w:sz="4" w:space="0"/>
              <w:right w:val="single" w:color="000000" w:sz="4" w:space="0"/>
            </w:tcBorders>
            <w:vAlign w:val="center"/>
          </w:tcPr>
          <w:p w14:paraId="3FEFE80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w:t>
            </w:r>
          </w:p>
        </w:tc>
        <w:tc>
          <w:tcPr>
            <w:tcW w:w="2835" w:type="dxa"/>
            <w:tcBorders>
              <w:top w:val="single" w:color="000000" w:sz="4" w:space="0"/>
              <w:left w:val="single" w:color="000000" w:sz="4" w:space="0"/>
              <w:bottom w:val="single" w:color="000000" w:sz="4" w:space="0"/>
              <w:right w:val="single" w:color="000000" w:sz="4" w:space="0"/>
            </w:tcBorders>
            <w:vAlign w:val="center"/>
          </w:tcPr>
          <w:p w14:paraId="71A603ED">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w:t>
            </w:r>
          </w:p>
        </w:tc>
        <w:tc>
          <w:tcPr>
            <w:tcW w:w="1386" w:type="dxa"/>
            <w:tcBorders>
              <w:top w:val="single" w:color="000000" w:sz="4" w:space="0"/>
              <w:left w:val="single" w:color="000000" w:sz="4" w:space="0"/>
              <w:bottom w:val="single" w:color="000000" w:sz="4" w:space="0"/>
              <w:right w:val="single" w:color="000000" w:sz="4" w:space="0"/>
            </w:tcBorders>
            <w:vAlign w:val="center"/>
          </w:tcPr>
          <w:p w14:paraId="08F186B3">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34C92E36">
            <w:pPr>
              <w:jc w:val="center"/>
              <w:rPr>
                <w:rFonts w:ascii="Times New Roman" w:hAnsi="Times New Roman" w:eastAsia="仿宋" w:cs="Times New Roman"/>
                <w:kern w:val="2"/>
                <w:lang w:eastAsia="zh-CN"/>
              </w:rPr>
            </w:pPr>
            <w:r>
              <w:rPr>
                <w:rFonts w:ascii="Times New Roman" w:hAnsi="Times New Roman" w:eastAsia="仿宋" w:cs="Times New Roman"/>
                <w:kern w:val="2"/>
                <w:lang w:eastAsia="zh-CN"/>
              </w:rPr>
              <w:t>59.52</w:t>
            </w:r>
          </w:p>
        </w:tc>
        <w:tc>
          <w:tcPr>
            <w:tcW w:w="1559" w:type="dxa"/>
            <w:tcBorders>
              <w:top w:val="single" w:color="000000" w:sz="4" w:space="0"/>
              <w:left w:val="single" w:color="000000" w:sz="4" w:space="0"/>
              <w:bottom w:val="single" w:color="000000" w:sz="4" w:space="0"/>
              <w:right w:val="single" w:color="000000" w:sz="4" w:space="0"/>
            </w:tcBorders>
            <w:vAlign w:val="center"/>
          </w:tcPr>
          <w:p w14:paraId="24FE9567">
            <w:pPr>
              <w:jc w:val="center"/>
              <w:rPr>
                <w:rFonts w:ascii="Times New Roman" w:hAnsi="Times New Roman" w:eastAsia="仿宋" w:cs="Times New Roman"/>
                <w:kern w:val="2"/>
                <w:lang w:eastAsia="zh-CN"/>
              </w:rPr>
            </w:pPr>
            <w:bookmarkStart w:id="159" w:name="OLE_LINK334"/>
            <w:bookmarkStart w:id="160" w:name="OLE_LINK335"/>
            <w:r>
              <w:rPr>
                <w:rFonts w:ascii="Times New Roman" w:hAnsi="Times New Roman" w:eastAsia="仿宋" w:cs="Times New Roman"/>
                <w:kern w:val="2"/>
              </w:rPr>
              <w:t>75.51%</w:t>
            </w:r>
            <w:bookmarkEnd w:id="159"/>
            <w:bookmarkEnd w:id="160"/>
          </w:p>
        </w:tc>
      </w:tr>
      <w:bookmarkEnd w:id="108"/>
      <w:bookmarkEnd w:id="109"/>
      <w:bookmarkEnd w:id="154"/>
    </w:tbl>
    <w:p w14:paraId="1F83D80F">
      <w:pPr>
        <w:spacing w:line="560" w:lineRule="exact"/>
        <w:jc w:val="both"/>
        <w:rPr>
          <w:rFonts w:ascii="Times New Roman" w:hAnsi="Times New Roman" w:cs="Times New Roman"/>
          <w:color w:val="auto"/>
          <w:lang w:eastAsia="zh-CN"/>
        </w:rPr>
        <w:sectPr>
          <w:footerReference r:id="rId8" w:type="default"/>
          <w:pgSz w:w="16839" w:h="11907" w:orient="landscape"/>
          <w:pgMar w:top="1440" w:right="1080" w:bottom="1440" w:left="1080" w:header="1020" w:footer="1020" w:gutter="0"/>
          <w:cols w:space="720" w:num="1"/>
          <w:docGrid w:linePitch="286" w:charSpace="0"/>
        </w:sectPr>
      </w:pPr>
    </w:p>
    <w:p w14:paraId="2C0E13E6">
      <w:pPr>
        <w:pStyle w:val="2"/>
        <w:tabs>
          <w:tab w:val="left" w:pos="2910"/>
          <w:tab w:val="center" w:pos="4153"/>
        </w:tabs>
        <w:jc w:val="center"/>
        <w:rPr>
          <w:rFonts w:hint="default" w:ascii="Times New Roman" w:hAnsi="Times New Roman"/>
          <w:color w:val="auto"/>
        </w:rPr>
      </w:pPr>
      <w:bookmarkStart w:id="161" w:name="bookmark36"/>
      <w:bookmarkEnd w:id="161"/>
      <w:bookmarkStart w:id="162" w:name="bookmark40"/>
      <w:bookmarkEnd w:id="162"/>
      <w:bookmarkStart w:id="163" w:name="bookmark38"/>
      <w:bookmarkEnd w:id="163"/>
      <w:bookmarkStart w:id="164" w:name="bookmark35"/>
      <w:bookmarkEnd w:id="164"/>
      <w:bookmarkStart w:id="165" w:name="_Toc183187236"/>
      <w:bookmarkStart w:id="166" w:name="OLE_LINK21"/>
      <w:bookmarkStart w:id="167" w:name="OLE_LINK20"/>
      <w:r>
        <w:rPr>
          <w:rFonts w:hint="default" w:ascii="Times New Roman" w:hAnsi="Times New Roman"/>
          <w:color w:val="auto"/>
        </w:rPr>
        <w:t xml:space="preserve">第三章 </w:t>
      </w:r>
      <w:bookmarkStart w:id="168" w:name="OLE_LINK33"/>
      <w:bookmarkStart w:id="169" w:name="OLE_LINK34"/>
      <w:bookmarkStart w:id="170" w:name="OLE_LINK26"/>
      <w:bookmarkStart w:id="171" w:name="OLE_LINK30"/>
      <w:bookmarkStart w:id="172" w:name="OLE_LINK25"/>
      <w:bookmarkStart w:id="173" w:name="OLE_LINK22"/>
      <w:r>
        <w:rPr>
          <w:rFonts w:hint="default" w:ascii="Times New Roman" w:hAnsi="Times New Roman"/>
          <w:color w:val="auto"/>
        </w:rPr>
        <w:t>以沙地治理为重点</w:t>
      </w:r>
      <w:bookmarkEnd w:id="168"/>
      <w:bookmarkEnd w:id="169"/>
      <w:r>
        <w:rPr>
          <w:rFonts w:hint="default" w:ascii="Times New Roman" w:hAnsi="Times New Roman"/>
          <w:color w:val="auto"/>
        </w:rPr>
        <w:t>，</w:t>
      </w:r>
      <w:bookmarkEnd w:id="170"/>
      <w:bookmarkEnd w:id="171"/>
      <w:r>
        <w:rPr>
          <w:rFonts w:hint="default" w:ascii="Times New Roman" w:hAnsi="Times New Roman"/>
          <w:color w:val="auto"/>
        </w:rPr>
        <w:t>优化生态空间结构</w:t>
      </w:r>
      <w:bookmarkEnd w:id="165"/>
    </w:p>
    <w:p w14:paraId="619A0EB4">
      <w:pPr>
        <w:spacing w:line="560" w:lineRule="exact"/>
        <w:jc w:val="both"/>
        <w:outlineLvl w:val="1"/>
        <w:rPr>
          <w:rFonts w:ascii="Times New Roman" w:hAnsi="Times New Roman" w:eastAsia="黑体" w:cs="Times New Roman"/>
          <w:b/>
          <w:bCs/>
          <w:color w:val="auto"/>
          <w:sz w:val="30"/>
          <w:szCs w:val="32"/>
          <w:lang w:eastAsia="zh-CN"/>
        </w:rPr>
      </w:pPr>
      <w:bookmarkStart w:id="174" w:name="OLE_LINK45"/>
      <w:bookmarkStart w:id="175" w:name="_Toc183187237"/>
      <w:bookmarkStart w:id="176" w:name="OLE_LINK259"/>
      <w:bookmarkStart w:id="177" w:name="OLE_LINK260"/>
      <w:bookmarkStart w:id="178" w:name="OLE_LINK135"/>
      <w:bookmarkStart w:id="179" w:name="OLE_LINK136"/>
      <w:r>
        <w:rPr>
          <w:rFonts w:ascii="Times New Roman" w:hAnsi="Times New Roman" w:eastAsia="黑体" w:cs="Times New Roman"/>
          <w:b/>
          <w:bCs/>
          <w:color w:val="auto"/>
          <w:sz w:val="30"/>
          <w:szCs w:val="32"/>
          <w:lang w:eastAsia="zh-CN"/>
        </w:rPr>
        <w:t>一、构建</w:t>
      </w:r>
      <w:bookmarkStart w:id="180" w:name="OLE_LINK145"/>
      <w:bookmarkStart w:id="181" w:name="OLE_LINK146"/>
      <w:r>
        <w:rPr>
          <w:rFonts w:ascii="Times New Roman" w:hAnsi="Times New Roman" w:eastAsia="黑体" w:cs="Times New Roman"/>
          <w:b/>
          <w:bCs/>
          <w:color w:val="auto"/>
          <w:sz w:val="30"/>
          <w:szCs w:val="32"/>
          <w:lang w:eastAsia="zh-CN"/>
        </w:rPr>
        <w:t>“一屏一区·两廊三支·多点维护”的生态空间格局</w:t>
      </w:r>
      <w:bookmarkEnd w:id="174"/>
      <w:bookmarkEnd w:id="175"/>
      <w:bookmarkEnd w:id="180"/>
      <w:bookmarkEnd w:id="181"/>
    </w:p>
    <w:bookmarkEnd w:id="176"/>
    <w:bookmarkEnd w:id="177"/>
    <w:p w14:paraId="290686CB">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bookmarkStart w:id="182" w:name="OLE_LINK43"/>
      <w:bookmarkStart w:id="183" w:name="OLE_LINK44"/>
      <w:r>
        <w:rPr>
          <w:rFonts w:ascii="Times New Roman" w:hAnsi="Times New Roman" w:eastAsia="仿宋" w:cs="Times New Roman"/>
          <w:color w:val="auto"/>
          <w:spacing w:val="-5"/>
          <w:sz w:val="28"/>
          <w:szCs w:val="28"/>
          <w:lang w:eastAsia="zh-CN"/>
        </w:rPr>
        <w:t>“一屏一区”指燕山余脉天然生态屏障、科尔沁防风固沙生态治理区；巩固</w:t>
      </w:r>
      <w:bookmarkStart w:id="184" w:name="OLE_LINK159"/>
      <w:r>
        <w:rPr>
          <w:rFonts w:ascii="Times New Roman" w:hAnsi="Times New Roman" w:eastAsia="仿宋" w:cs="Times New Roman"/>
          <w:color w:val="auto"/>
          <w:spacing w:val="-5"/>
          <w:sz w:val="28"/>
          <w:szCs w:val="28"/>
          <w:lang w:eastAsia="zh-CN"/>
        </w:rPr>
        <w:t>燕山余脉的天然生态屏障功能，维护西部山区水源涵养和生物多样性保护能力</w:t>
      </w:r>
      <w:bookmarkEnd w:id="184"/>
      <w:r>
        <w:rPr>
          <w:rFonts w:ascii="Times New Roman" w:hAnsi="Times New Roman" w:eastAsia="仿宋" w:cs="Times New Roman"/>
          <w:color w:val="auto"/>
          <w:spacing w:val="-5"/>
          <w:sz w:val="28"/>
          <w:szCs w:val="28"/>
          <w:lang w:eastAsia="zh-CN"/>
        </w:rPr>
        <w:t>；持续推进科尔沁防风固沙生态治理区生态修复和整治，提升优化全域生态本底。</w:t>
      </w:r>
    </w:p>
    <w:p w14:paraId="7A6DD8FB">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两廊三支”指西拉木伦河、老哈河生态廊道和少郎河、苇塘河、羊肠子河生态支廊；重点保护西拉木伦河、老哈河生态带及西拉木伦翁牛特旗段湿地公园，形成南北依傍的生态廊道；依托少郎河、苇塘河、羊肠子河构建连接生态屏障、两廊、重要生态节点的生态支廊，促进生态系统的贯通。</w:t>
      </w:r>
    </w:p>
    <w:p w14:paraId="73542A9F">
      <w:pPr>
        <w:kinsoku/>
        <w:spacing w:line="560" w:lineRule="exact"/>
        <w:ind w:firstLine="540"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多点维护”指维护多个生态节点，以松树山自然保护区、勃隆克及海拉苏沙漠公园、翁牛特地质公园等自然保护区为关键生态节点，构成翁牛特旗生态网络的重要源地，锚定区域的生态功能价值。到2030年，生态“一屏一区·两廊三支·多点维护”的生态空间格局全面形成。</w:t>
      </w:r>
    </w:p>
    <w:p w14:paraId="03DA88C7">
      <w:pPr>
        <w:spacing w:line="560" w:lineRule="exact"/>
        <w:jc w:val="both"/>
        <w:outlineLvl w:val="1"/>
        <w:rPr>
          <w:rFonts w:ascii="Times New Roman" w:hAnsi="Times New Roman" w:eastAsia="黑体" w:cs="Times New Roman"/>
          <w:b/>
          <w:bCs/>
          <w:color w:val="auto"/>
          <w:sz w:val="30"/>
          <w:szCs w:val="32"/>
          <w:lang w:eastAsia="zh-CN"/>
        </w:rPr>
      </w:pPr>
      <w:bookmarkStart w:id="185" w:name="_Toc183187238"/>
      <w:bookmarkStart w:id="186" w:name="OLE_LINK264"/>
      <w:bookmarkStart w:id="187" w:name="OLE_LINK262"/>
      <w:bookmarkStart w:id="188" w:name="OLE_LINK263"/>
      <w:bookmarkStart w:id="189" w:name="OLE_LINK261"/>
      <w:r>
        <w:rPr>
          <w:rFonts w:ascii="Times New Roman" w:hAnsi="Times New Roman" w:eastAsia="黑体" w:cs="Times New Roman"/>
          <w:b/>
          <w:bCs/>
          <w:color w:val="auto"/>
          <w:sz w:val="30"/>
          <w:szCs w:val="32"/>
          <w:lang w:eastAsia="zh-CN"/>
        </w:rPr>
        <w:t>二、</w:t>
      </w:r>
      <w:bookmarkEnd w:id="172"/>
      <w:bookmarkEnd w:id="173"/>
      <w:bookmarkEnd w:id="182"/>
      <w:bookmarkEnd w:id="183"/>
      <w:bookmarkStart w:id="190" w:name="OLE_LINK36"/>
      <w:r>
        <w:rPr>
          <w:rFonts w:ascii="Times New Roman" w:hAnsi="Times New Roman" w:eastAsia="黑体" w:cs="Times New Roman"/>
          <w:b/>
          <w:bCs/>
          <w:color w:val="auto"/>
          <w:sz w:val="30"/>
          <w:szCs w:val="32"/>
          <w:lang w:eastAsia="zh-CN"/>
        </w:rPr>
        <w:t>科学划定三区三线，保障生态安全底线</w:t>
      </w:r>
      <w:bookmarkEnd w:id="185"/>
    </w:p>
    <w:bookmarkEnd w:id="186"/>
    <w:bookmarkEnd w:id="187"/>
    <w:bookmarkEnd w:id="188"/>
    <w:bookmarkEnd w:id="189"/>
    <w:bookmarkEnd w:id="190"/>
    <w:p w14:paraId="2B61EAC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191" w:name="_Toc183187239"/>
      <w:r>
        <w:rPr>
          <w:rFonts w:ascii="Times New Roman" w:hAnsi="Times New Roman" w:eastAsia="仿宋" w:cs="Times New Roman"/>
          <w:b/>
          <w:bCs/>
          <w:color w:val="auto"/>
          <w:spacing w:val="-2"/>
          <w:sz w:val="28"/>
          <w:szCs w:val="28"/>
          <w:lang w:eastAsia="zh-CN"/>
        </w:rPr>
        <w:t>（一）实施生态空间分区管控</w:t>
      </w:r>
      <w:bookmarkEnd w:id="191"/>
    </w:p>
    <w:p w14:paraId="6679493B">
      <w:pPr>
        <w:widowControl w:val="0"/>
        <w:kinsoku/>
        <w:autoSpaceDE/>
        <w:autoSpaceDN/>
        <w:spacing w:line="560" w:lineRule="exact"/>
        <w:ind w:firstLine="542" w:firstLineChars="200"/>
        <w:jc w:val="both"/>
        <w:textAlignment w:val="auto"/>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严守生态保护红线。</w:t>
      </w:r>
      <w:r>
        <w:rPr>
          <w:rFonts w:ascii="Times New Roman" w:hAnsi="Times New Roman" w:eastAsia="仿宋" w:cs="Times New Roman"/>
          <w:color w:val="auto"/>
          <w:spacing w:val="-5"/>
          <w:sz w:val="28"/>
          <w:szCs w:val="28"/>
          <w:lang w:eastAsia="zh-CN"/>
        </w:rPr>
        <w:t>科学划定翁牛特旗生态保护红线，全旗划定生态保护红线面积</w:t>
      </w:r>
      <w:bookmarkStart w:id="192" w:name="OLE_LINK48"/>
      <w:bookmarkStart w:id="193" w:name="OLE_LINK47"/>
      <w:r>
        <w:rPr>
          <w:rFonts w:ascii="Times New Roman" w:hAnsi="Times New Roman" w:eastAsia="仿宋" w:cs="Times New Roman"/>
          <w:color w:val="auto"/>
          <w:spacing w:val="-5"/>
          <w:sz w:val="28"/>
          <w:szCs w:val="28"/>
          <w:lang w:eastAsia="zh-CN"/>
        </w:rPr>
        <w:t>2391.9075</w:t>
      </w:r>
      <w:bookmarkEnd w:id="192"/>
      <w:bookmarkEnd w:id="193"/>
      <w:r>
        <w:rPr>
          <w:rFonts w:ascii="Times New Roman" w:hAnsi="Times New Roman" w:eastAsia="仿宋" w:cs="Times New Roman"/>
          <w:color w:val="auto"/>
          <w:spacing w:val="-5"/>
          <w:sz w:val="28"/>
          <w:szCs w:val="28"/>
          <w:lang w:eastAsia="zh-CN"/>
        </w:rPr>
        <w:t>平方千米，占全旗总面积的20.12%。对翁牛特旗现有5处自然保护地，实施严格保护，核心区依法禁止任何单位和个人进入，自然保护地核心区外，在符合现行法律法规的前提下，除国家重大项目外，仅允许对生态功能不造成破坏的有限人为活动，严禁开展与其主导功能定位不相符的开发利用活动。</w:t>
      </w:r>
    </w:p>
    <w:p w14:paraId="08FFEB39">
      <w:pPr>
        <w:widowControl w:val="0"/>
        <w:kinsoku/>
        <w:autoSpaceDE/>
        <w:autoSpaceDN/>
        <w:spacing w:line="560" w:lineRule="exact"/>
        <w:ind w:firstLine="542" w:firstLineChars="200"/>
        <w:jc w:val="both"/>
        <w:textAlignment w:val="auto"/>
        <w:rPr>
          <w:rFonts w:ascii="Times New Roman" w:hAnsi="Times New Roman" w:eastAsia="仿宋" w:cs="Times New Roman"/>
          <w:color w:val="auto"/>
          <w:spacing w:val="-5"/>
          <w:sz w:val="28"/>
          <w:szCs w:val="28"/>
          <w:lang w:eastAsia="zh-CN"/>
        </w:rPr>
      </w:pPr>
      <w:bookmarkStart w:id="194" w:name="OLE_LINK70"/>
      <w:r>
        <w:rPr>
          <w:rFonts w:ascii="Times New Roman" w:hAnsi="Times New Roman" w:eastAsia="仿宋" w:cs="Times New Roman"/>
          <w:b/>
          <w:color w:val="auto"/>
          <w:spacing w:val="-5"/>
          <w:sz w:val="28"/>
          <w:szCs w:val="28"/>
          <w:lang w:eastAsia="zh-CN"/>
        </w:rPr>
        <w:t>保育重点</w:t>
      </w:r>
      <w:bookmarkStart w:id="195" w:name="OLE_LINK69"/>
      <w:bookmarkStart w:id="196" w:name="OLE_LINK68"/>
      <w:r>
        <w:rPr>
          <w:rFonts w:ascii="Times New Roman" w:hAnsi="Times New Roman" w:eastAsia="仿宋" w:cs="Times New Roman"/>
          <w:b/>
          <w:color w:val="auto"/>
          <w:spacing w:val="-5"/>
          <w:sz w:val="28"/>
          <w:szCs w:val="28"/>
          <w:lang w:eastAsia="zh-CN"/>
        </w:rPr>
        <w:t>生态空间</w:t>
      </w:r>
      <w:bookmarkEnd w:id="194"/>
      <w:bookmarkEnd w:id="195"/>
      <w:bookmarkEnd w:id="196"/>
      <w:r>
        <w:rPr>
          <w:rFonts w:ascii="Times New Roman" w:hAnsi="Times New Roman" w:eastAsia="仿宋" w:cs="Times New Roman"/>
          <w:b/>
          <w:color w:val="auto"/>
          <w:spacing w:val="-5"/>
          <w:sz w:val="28"/>
          <w:szCs w:val="28"/>
          <w:lang w:eastAsia="zh-CN"/>
        </w:rPr>
        <w:t>。</w:t>
      </w:r>
      <w:r>
        <w:rPr>
          <w:rFonts w:ascii="Times New Roman" w:hAnsi="Times New Roman" w:eastAsia="仿宋" w:cs="Times New Roman"/>
          <w:color w:val="auto"/>
          <w:spacing w:val="-5"/>
          <w:sz w:val="28"/>
          <w:szCs w:val="28"/>
          <w:lang w:eastAsia="zh-CN"/>
        </w:rPr>
        <w:t>深入践行“绿水青山就是金山银山”重要理念，以自然保护地、生态保护红线和国家重点生态功能区为重点，统筹山水林田湖草沙系统治理，坚持自然恢复与人工修复相结合，增强西部台地、中部丘陵和东部沙丘生态系统功能。重点推进草原、森林、河流、湖泊、湿地、沙地等生态要素的保护，提升全域生态系统质量和稳定性。全面落实赤峰市确定的翁牛特旗重点生态功能区划定，划定重点生态功能区的面积不低于全域总面积的60%</w:t>
      </w:r>
      <w:r>
        <w:rPr>
          <w:rFonts w:hint="eastAsia" w:ascii="Times New Roman" w:hAnsi="Times New Roman" w:eastAsia="仿宋" w:cs="Times New Roman"/>
          <w:color w:val="auto"/>
          <w:spacing w:val="-5"/>
          <w:sz w:val="28"/>
          <w:szCs w:val="28"/>
          <w:lang w:eastAsia="zh-CN"/>
        </w:rPr>
        <w:t>。</w:t>
      </w:r>
    </w:p>
    <w:p w14:paraId="4D14E45C">
      <w:pPr>
        <w:widowControl w:val="0"/>
        <w:kinsoku/>
        <w:autoSpaceDE/>
        <w:autoSpaceDN/>
        <w:spacing w:line="560" w:lineRule="exact"/>
        <w:ind w:firstLine="542" w:firstLineChars="200"/>
        <w:jc w:val="both"/>
        <w:textAlignment w:val="auto"/>
        <w:rPr>
          <w:rFonts w:ascii="Times New Roman" w:hAnsi="Times New Roman" w:eastAsia="仿宋" w:cs="Times New Roman"/>
          <w:color w:val="auto"/>
          <w:spacing w:val="-5"/>
          <w:sz w:val="28"/>
          <w:szCs w:val="28"/>
          <w:lang w:eastAsia="zh-CN"/>
        </w:rPr>
      </w:pPr>
      <w:bookmarkStart w:id="197" w:name="OLE_LINK252"/>
      <w:bookmarkStart w:id="198" w:name="OLE_LINK251"/>
      <w:r>
        <w:rPr>
          <w:rFonts w:ascii="Times New Roman" w:hAnsi="Times New Roman" w:eastAsia="仿宋" w:cs="Times New Roman"/>
          <w:b/>
          <w:color w:val="auto"/>
          <w:spacing w:val="-5"/>
          <w:sz w:val="28"/>
          <w:szCs w:val="28"/>
          <w:lang w:eastAsia="zh-CN"/>
        </w:rPr>
        <w:t>强化一般生态空间管控。</w:t>
      </w:r>
      <w:bookmarkStart w:id="199" w:name="OLE_LINK258"/>
      <w:bookmarkStart w:id="200" w:name="OLE_LINK257"/>
      <w:r>
        <w:rPr>
          <w:rFonts w:ascii="Times New Roman" w:hAnsi="Times New Roman" w:eastAsia="仿宋" w:cs="Times New Roman"/>
          <w:color w:val="auto"/>
          <w:spacing w:val="-5"/>
          <w:sz w:val="28"/>
          <w:szCs w:val="28"/>
          <w:lang w:eastAsia="zh-CN"/>
        </w:rPr>
        <w:t>生态保护红线外的生态空间，原则上按限制开发区域的要求进行管理。严格控制生态空间向农业空间、城镇空间的转换，确保依法保护的生态空间面积不减少，生态功能不降低，生态服务保障能力逐</w:t>
      </w:r>
      <w:bookmarkEnd w:id="197"/>
      <w:bookmarkEnd w:id="198"/>
      <w:r>
        <w:rPr>
          <w:rFonts w:ascii="Times New Roman" w:hAnsi="Times New Roman" w:eastAsia="仿宋" w:cs="Times New Roman"/>
          <w:color w:val="auto"/>
          <w:spacing w:val="-5"/>
          <w:sz w:val="28"/>
          <w:szCs w:val="28"/>
          <w:lang w:eastAsia="zh-CN"/>
        </w:rPr>
        <w:t>渐提高；严格禁止</w:t>
      </w:r>
      <w:bookmarkEnd w:id="199"/>
      <w:bookmarkEnd w:id="200"/>
      <w:r>
        <w:rPr>
          <w:rFonts w:ascii="Times New Roman" w:hAnsi="Times New Roman" w:eastAsia="仿宋" w:cs="Times New Roman"/>
          <w:color w:val="auto"/>
          <w:spacing w:val="-5"/>
          <w:sz w:val="28"/>
          <w:szCs w:val="28"/>
          <w:lang w:eastAsia="zh-CN"/>
        </w:rPr>
        <w:t>不符合生态保护要求或有损生态功能的相互转换。根据生态保护需要和规划，因地制宜促进生态空间内的建设用地、农业用地逐步有序退出，恢复生态用途。</w:t>
      </w:r>
    </w:p>
    <w:p w14:paraId="7B54D327">
      <w:pPr>
        <w:spacing w:line="560" w:lineRule="exact"/>
        <w:ind w:firstLine="554" w:firstLineChars="200"/>
        <w:jc w:val="both"/>
        <w:outlineLvl w:val="2"/>
        <w:rPr>
          <w:rFonts w:ascii="Times New Roman" w:hAnsi="Times New Roman" w:eastAsia="仿宋_GB2312" w:cs="Times New Roman"/>
          <w:b/>
          <w:sz w:val="32"/>
          <w:szCs w:val="32"/>
          <w:lang w:eastAsia="zh-CN"/>
        </w:rPr>
      </w:pPr>
      <w:bookmarkStart w:id="201" w:name="_Toc183187240"/>
      <w:r>
        <w:rPr>
          <w:rFonts w:ascii="Times New Roman" w:hAnsi="Times New Roman" w:eastAsia="仿宋" w:cs="Times New Roman"/>
          <w:b/>
          <w:bCs/>
          <w:color w:val="auto"/>
          <w:spacing w:val="-2"/>
          <w:sz w:val="28"/>
          <w:szCs w:val="28"/>
          <w:lang w:eastAsia="zh-CN"/>
        </w:rPr>
        <w:t>（二）</w:t>
      </w:r>
      <w:bookmarkStart w:id="202" w:name="OLE_LINK229"/>
      <w:bookmarkStart w:id="203" w:name="OLE_LINK228"/>
      <w:r>
        <w:rPr>
          <w:rFonts w:ascii="Times New Roman" w:hAnsi="Times New Roman" w:eastAsia="仿宋" w:cs="Times New Roman"/>
          <w:b/>
          <w:bCs/>
          <w:color w:val="auto"/>
          <w:spacing w:val="-2"/>
          <w:sz w:val="28"/>
          <w:szCs w:val="28"/>
          <w:lang w:eastAsia="zh-CN"/>
        </w:rPr>
        <w:t>建设绿色高产农牧业生产空间</w:t>
      </w:r>
      <w:bookmarkEnd w:id="201"/>
      <w:bookmarkEnd w:id="202"/>
      <w:bookmarkEnd w:id="203"/>
    </w:p>
    <w:p w14:paraId="1F4D324C">
      <w:pPr>
        <w:spacing w:line="560" w:lineRule="exact"/>
        <w:ind w:firstLine="542" w:firstLineChars="200"/>
        <w:jc w:val="both"/>
        <w:rPr>
          <w:rFonts w:ascii="Times New Roman" w:hAnsi="Times New Roman" w:eastAsia="仿宋" w:cs="Times New Roman"/>
          <w:color w:val="auto"/>
          <w:spacing w:val="-5"/>
          <w:sz w:val="28"/>
          <w:szCs w:val="28"/>
          <w:lang w:eastAsia="zh-CN"/>
        </w:rPr>
      </w:pPr>
      <w:bookmarkStart w:id="204" w:name="OLE_LINK224"/>
      <w:bookmarkStart w:id="205" w:name="OLE_LINK225"/>
      <w:r>
        <w:rPr>
          <w:rFonts w:ascii="Times New Roman" w:hAnsi="Times New Roman" w:eastAsia="仿宋" w:cs="Times New Roman"/>
          <w:b/>
          <w:color w:val="auto"/>
          <w:spacing w:val="-5"/>
          <w:sz w:val="28"/>
          <w:szCs w:val="28"/>
          <w:lang w:eastAsia="zh-CN"/>
        </w:rPr>
        <w:t>保护绿色高产的农牧生产空间。</w:t>
      </w:r>
      <w:bookmarkEnd w:id="204"/>
      <w:bookmarkEnd w:id="205"/>
      <w:r>
        <w:rPr>
          <w:rFonts w:ascii="Times New Roman" w:hAnsi="Times New Roman" w:eastAsia="仿宋" w:cs="Times New Roman"/>
          <w:color w:val="auto"/>
          <w:spacing w:val="-5"/>
          <w:sz w:val="28"/>
          <w:szCs w:val="28"/>
          <w:lang w:eastAsia="zh-CN"/>
        </w:rPr>
        <w:t>巩固“两区”划定成果，保障粮油等农畜产品供应安全；推进现代农牧园区建设。构建国家、自治区、盟市、旗县四级现代农业示范园体系，大力推进“一乡一园”创建。</w:t>
      </w:r>
    </w:p>
    <w:p w14:paraId="5F5CB952">
      <w:pPr>
        <w:spacing w:line="560" w:lineRule="exact"/>
        <w:ind w:firstLine="542" w:firstLineChars="200"/>
        <w:jc w:val="both"/>
        <w:rPr>
          <w:rFonts w:ascii="Times New Roman" w:hAnsi="Times New Roman" w:eastAsia="仿宋" w:cs="Times New Roman"/>
          <w:color w:val="auto"/>
          <w:spacing w:val="-5"/>
          <w:sz w:val="28"/>
          <w:szCs w:val="28"/>
          <w:lang w:eastAsia="zh-CN"/>
        </w:rPr>
      </w:pPr>
      <w:bookmarkStart w:id="206" w:name="OLE_LINK242"/>
      <w:bookmarkStart w:id="207" w:name="OLE_LINK243"/>
      <w:r>
        <w:rPr>
          <w:rFonts w:ascii="Times New Roman" w:hAnsi="Times New Roman" w:eastAsia="仿宋" w:cs="Times New Roman"/>
          <w:b/>
          <w:color w:val="auto"/>
          <w:spacing w:val="-5"/>
          <w:sz w:val="28"/>
          <w:szCs w:val="28"/>
          <w:lang w:eastAsia="zh-CN"/>
        </w:rPr>
        <w:t>大力发展特色农牧业产品</w:t>
      </w:r>
      <w:bookmarkEnd w:id="206"/>
      <w:bookmarkEnd w:id="207"/>
      <w:r>
        <w:rPr>
          <w:rFonts w:ascii="Times New Roman" w:hAnsi="Times New Roman" w:eastAsia="仿宋" w:cs="Times New Roman"/>
          <w:b/>
          <w:color w:val="auto"/>
          <w:spacing w:val="-5"/>
          <w:sz w:val="28"/>
          <w:szCs w:val="28"/>
          <w:lang w:eastAsia="zh-CN"/>
        </w:rPr>
        <w:t>。</w:t>
      </w:r>
      <w:r>
        <w:rPr>
          <w:rFonts w:ascii="Times New Roman" w:hAnsi="Times New Roman" w:eastAsia="仿宋" w:cs="Times New Roman"/>
          <w:color w:val="auto"/>
          <w:spacing w:val="-5"/>
          <w:sz w:val="28"/>
          <w:szCs w:val="28"/>
          <w:lang w:eastAsia="zh-CN"/>
        </w:rPr>
        <w:t>集中发展优势主导产业，创优农牧业产业品牌。发挥国家级出口食品农产品质量安全示范区的“金字招牌”作用，积极做好“三品一标”认证工作，不断扩大旗内农畜产品品牌的知名度和影响力</w:t>
      </w:r>
      <w:r>
        <w:rPr>
          <w:rFonts w:hint="eastAsia" w:ascii="Times New Roman" w:hAnsi="Times New Roman" w:eastAsia="仿宋" w:cs="Times New Roman"/>
          <w:color w:val="auto"/>
          <w:spacing w:val="-5"/>
          <w:sz w:val="28"/>
          <w:szCs w:val="28"/>
          <w:lang w:eastAsia="zh-CN"/>
        </w:rPr>
        <w:t>。</w:t>
      </w:r>
    </w:p>
    <w:p w14:paraId="78E2E015">
      <w:pPr>
        <w:spacing w:line="560" w:lineRule="exact"/>
        <w:ind w:firstLine="542" w:firstLineChars="200"/>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b/>
          <w:color w:val="auto"/>
          <w:spacing w:val="-5"/>
          <w:sz w:val="28"/>
          <w:szCs w:val="28"/>
          <w:lang w:eastAsia="zh-CN"/>
        </w:rPr>
        <w:t>提升农牧业发展质量。</w:t>
      </w:r>
      <w:r>
        <w:rPr>
          <w:rFonts w:ascii="Times New Roman" w:hAnsi="Times New Roman" w:eastAsia="仿宋" w:cs="Times New Roman"/>
          <w:color w:val="auto"/>
          <w:spacing w:val="-5"/>
          <w:sz w:val="28"/>
          <w:szCs w:val="28"/>
          <w:lang w:eastAsia="zh-CN"/>
        </w:rPr>
        <w:t>坚持高质量、绿色化兴农兴牧，构建质量优先、绿色为重的农牧发展格局；落实“藏粮于地、藏粮于技”战略，建设农田水利设施；全面开展基层农技推广，加强科技信息服务建设，发展高效可持续的农牧业。到2025年，永久基本农田保护面积不低于</w:t>
      </w:r>
      <w:bookmarkStart w:id="208" w:name="OLE_LINK255"/>
      <w:bookmarkStart w:id="209" w:name="OLE_LINK256"/>
      <w:r>
        <w:rPr>
          <w:rFonts w:ascii="Times New Roman" w:hAnsi="Times New Roman" w:eastAsia="仿宋" w:cs="Times New Roman"/>
          <w:color w:val="auto"/>
          <w:spacing w:val="-5"/>
          <w:sz w:val="28"/>
          <w:szCs w:val="28"/>
          <w:lang w:eastAsia="zh-CN"/>
        </w:rPr>
        <w:t>429.9219</w:t>
      </w:r>
      <w:bookmarkEnd w:id="208"/>
      <w:bookmarkEnd w:id="209"/>
      <w:r>
        <w:rPr>
          <w:rFonts w:ascii="Times New Roman" w:hAnsi="Times New Roman" w:eastAsia="仿宋" w:cs="Times New Roman"/>
          <w:color w:val="auto"/>
          <w:spacing w:val="-5"/>
          <w:sz w:val="28"/>
          <w:szCs w:val="28"/>
          <w:lang w:eastAsia="zh-CN"/>
        </w:rPr>
        <w:t>万亩。</w:t>
      </w:r>
    </w:p>
    <w:p w14:paraId="2BB4A4D1">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10" w:name="_Toc183187241"/>
      <w:r>
        <w:rPr>
          <w:rFonts w:ascii="Times New Roman" w:hAnsi="Times New Roman" w:eastAsia="仿宋" w:cs="Times New Roman"/>
          <w:b/>
          <w:bCs/>
          <w:color w:val="auto"/>
          <w:spacing w:val="-2"/>
          <w:sz w:val="28"/>
          <w:szCs w:val="28"/>
          <w:lang w:eastAsia="zh-CN"/>
        </w:rPr>
        <w:t>（三）</w:t>
      </w:r>
      <w:bookmarkStart w:id="211" w:name="OLE_LINK203"/>
      <w:bookmarkStart w:id="212" w:name="OLE_LINK204"/>
      <w:r>
        <w:rPr>
          <w:rFonts w:ascii="Times New Roman" w:hAnsi="Times New Roman" w:eastAsia="仿宋" w:cs="Times New Roman"/>
          <w:b/>
          <w:bCs/>
          <w:color w:val="auto"/>
          <w:spacing w:val="-2"/>
          <w:sz w:val="28"/>
          <w:szCs w:val="28"/>
          <w:lang w:eastAsia="zh-CN"/>
        </w:rPr>
        <w:t>构建“一轴三带、一心四点”的城镇空间</w:t>
      </w:r>
      <w:bookmarkEnd w:id="210"/>
    </w:p>
    <w:bookmarkEnd w:id="211"/>
    <w:bookmarkEnd w:id="212"/>
    <w:p w14:paraId="72F4661A">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bookmarkStart w:id="213" w:name="OLE_LINK220"/>
      <w:bookmarkStart w:id="214" w:name="OLE_LINK221"/>
      <w:bookmarkStart w:id="215" w:name="OLE_LINK197"/>
      <w:bookmarkStart w:id="216" w:name="OLE_LINK49"/>
      <w:bookmarkStart w:id="217" w:name="OLE_LINK50"/>
      <w:r>
        <w:rPr>
          <w:rFonts w:ascii="Times New Roman" w:hAnsi="Times New Roman" w:eastAsia="仿宋" w:cs="Times New Roman"/>
          <w:color w:val="auto"/>
          <w:spacing w:val="-5"/>
          <w:sz w:val="28"/>
          <w:szCs w:val="28"/>
          <w:lang w:eastAsia="zh-CN"/>
        </w:rPr>
        <w:t>“一轴”指区域主要发展轴线，即以中心城区为中心，向南联结赤峰城区，向北贯通巴林右旗的南北向枢纽发展轴。“三带”指小城镇集聚发展带，即广海新东西向发展带、五广桥西部发展带、海乌东部发展带。“一心”指以乌丹镇区及周边园区共同构成的中心城区发展核心。“四点”指广德公镇、海拉苏镇、桥头镇、乌敦套海镇四大重点镇；承担带动周边乡镇集聚发展、提供综合服务的功能。</w:t>
      </w:r>
    </w:p>
    <w:bookmarkEnd w:id="213"/>
    <w:bookmarkEnd w:id="214"/>
    <w:p w14:paraId="018DEACB">
      <w:pPr>
        <w:pStyle w:val="40"/>
        <w:snapToGrid w:val="0"/>
        <w:spacing w:line="560" w:lineRule="exact"/>
        <w:ind w:firstLine="540" w:firstLineChars="200"/>
        <w:jc w:val="both"/>
        <w:rPr>
          <w:rFonts w:ascii="Times New Roman" w:hAnsi="Times New Roman" w:cs="Times New Roman"/>
          <w:snapToGrid w:val="0"/>
          <w:color w:val="auto"/>
          <w:spacing w:val="-5"/>
          <w:sz w:val="28"/>
          <w:szCs w:val="28"/>
        </w:rPr>
      </w:pPr>
      <w:bookmarkStart w:id="218" w:name="OLE_LINK18"/>
      <w:bookmarkStart w:id="219" w:name="OLE_LINK19"/>
      <w:r>
        <w:rPr>
          <w:rFonts w:ascii="Times New Roman" w:hAnsi="Times New Roman" w:cs="Times New Roman"/>
          <w:snapToGrid w:val="0"/>
          <w:color w:val="auto"/>
          <w:spacing w:val="-5"/>
          <w:sz w:val="28"/>
          <w:szCs w:val="28"/>
        </w:rPr>
        <w:t>科学划定城镇开发边界</w:t>
      </w:r>
      <w:bookmarkStart w:id="220" w:name="OLE_LINK222"/>
      <w:bookmarkStart w:id="221" w:name="OLE_LINK223"/>
      <w:r>
        <w:rPr>
          <w:rFonts w:ascii="Times New Roman" w:hAnsi="Times New Roman" w:cs="Times New Roman"/>
          <w:snapToGrid w:val="0"/>
          <w:color w:val="auto"/>
          <w:spacing w:val="-5"/>
          <w:sz w:val="28"/>
          <w:szCs w:val="28"/>
        </w:rPr>
        <w:t>。</w:t>
      </w:r>
      <w:bookmarkEnd w:id="220"/>
      <w:bookmarkEnd w:id="221"/>
      <w:r>
        <w:rPr>
          <w:rFonts w:ascii="Times New Roman" w:hAnsi="Times New Roman" w:cs="Times New Roman"/>
          <w:snapToGrid w:val="0"/>
          <w:color w:val="auto"/>
          <w:spacing w:val="-5"/>
          <w:sz w:val="28"/>
          <w:szCs w:val="28"/>
        </w:rPr>
        <w:t>划定城镇开发边界面积0.4304万公顷（6.46万亩）。</w:t>
      </w:r>
      <w:bookmarkStart w:id="222" w:name="OLE_LINK217"/>
      <w:r>
        <w:rPr>
          <w:rFonts w:ascii="Times New Roman" w:hAnsi="Times New Roman" w:cs="Times New Roman"/>
          <w:snapToGrid w:val="0"/>
          <w:color w:val="auto"/>
          <w:spacing w:val="-5"/>
          <w:sz w:val="28"/>
          <w:szCs w:val="28"/>
        </w:rPr>
        <w:t>城镇开发边界内部开展的各类建设活动应严格实行“详细规划+规划许</w:t>
      </w:r>
      <w:bookmarkEnd w:id="218"/>
      <w:bookmarkEnd w:id="219"/>
      <w:r>
        <w:rPr>
          <w:rFonts w:ascii="Times New Roman" w:hAnsi="Times New Roman" w:cs="Times New Roman"/>
          <w:snapToGrid w:val="0"/>
          <w:color w:val="auto"/>
          <w:spacing w:val="-5"/>
          <w:sz w:val="28"/>
          <w:szCs w:val="28"/>
        </w:rPr>
        <w:t>可”用途管制</w:t>
      </w:r>
      <w:bookmarkEnd w:id="222"/>
      <w:r>
        <w:rPr>
          <w:rFonts w:ascii="Times New Roman" w:hAnsi="Times New Roman" w:cs="Times New Roman"/>
          <w:snapToGrid w:val="0"/>
          <w:color w:val="auto"/>
          <w:spacing w:val="-5"/>
          <w:sz w:val="28"/>
          <w:szCs w:val="28"/>
        </w:rPr>
        <w:t>。严格控制城镇开发边界外空间开发强度；城镇开发边界外独立选址的项目，应符合有关国土空间规划和用途管制要求，按照主导用途分区，实行“详细规划+规划许可”和“约束指标+分区准入”的管制方式</w:t>
      </w:r>
      <w:bookmarkEnd w:id="215"/>
      <w:r>
        <w:rPr>
          <w:rFonts w:ascii="Times New Roman" w:hAnsi="Times New Roman" w:cs="Times New Roman"/>
          <w:snapToGrid w:val="0"/>
          <w:color w:val="auto"/>
          <w:spacing w:val="-5"/>
          <w:sz w:val="28"/>
          <w:szCs w:val="28"/>
        </w:rPr>
        <w:t>。到2025年，</w:t>
      </w:r>
      <w:bookmarkStart w:id="223" w:name="OLE_LINK205"/>
      <w:bookmarkStart w:id="224" w:name="OLE_LINK206"/>
      <w:bookmarkStart w:id="225" w:name="OLE_LINK208"/>
      <w:bookmarkStart w:id="226" w:name="OLE_LINK209"/>
      <w:r>
        <w:rPr>
          <w:rFonts w:ascii="Times New Roman" w:hAnsi="Times New Roman" w:cs="Times New Roman"/>
          <w:snapToGrid w:val="0"/>
          <w:color w:val="auto"/>
          <w:spacing w:val="-5"/>
          <w:sz w:val="28"/>
          <w:szCs w:val="28"/>
        </w:rPr>
        <w:t>城镇开发边界扩展倍数控制在基于2020年城镇建设用地规模的1.2000倍以内</w:t>
      </w:r>
      <w:bookmarkEnd w:id="216"/>
      <w:bookmarkEnd w:id="217"/>
      <w:bookmarkEnd w:id="223"/>
      <w:bookmarkEnd w:id="224"/>
      <w:r>
        <w:rPr>
          <w:rFonts w:ascii="Times New Roman" w:hAnsi="Times New Roman" w:cs="Times New Roman"/>
          <w:snapToGrid w:val="0"/>
          <w:color w:val="auto"/>
          <w:spacing w:val="-5"/>
          <w:sz w:val="28"/>
          <w:szCs w:val="28"/>
        </w:rPr>
        <w:t>。</w:t>
      </w:r>
    </w:p>
    <w:p w14:paraId="17D25EC5">
      <w:pPr>
        <w:spacing w:line="560" w:lineRule="exact"/>
        <w:jc w:val="both"/>
        <w:outlineLvl w:val="1"/>
        <w:rPr>
          <w:rFonts w:ascii="Times New Roman" w:hAnsi="Times New Roman" w:eastAsia="黑体" w:cs="Times New Roman"/>
          <w:b/>
          <w:bCs/>
          <w:color w:val="auto"/>
          <w:sz w:val="30"/>
          <w:szCs w:val="32"/>
          <w:lang w:eastAsia="zh-CN"/>
        </w:rPr>
      </w:pPr>
      <w:bookmarkStart w:id="227" w:name="_Toc183187242"/>
      <w:r>
        <w:rPr>
          <w:rFonts w:ascii="Times New Roman" w:hAnsi="Times New Roman" w:eastAsia="黑体" w:cs="Times New Roman"/>
          <w:b/>
          <w:bCs/>
          <w:color w:val="auto"/>
          <w:sz w:val="30"/>
          <w:szCs w:val="32"/>
          <w:lang w:eastAsia="zh-CN"/>
        </w:rPr>
        <w:t>三、突出翁牛特旗特色，全面打赢科尔沁沙地歼灭战</w:t>
      </w:r>
      <w:bookmarkEnd w:id="227"/>
    </w:p>
    <w:p w14:paraId="0439B199">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28" w:name="_Toc183187243"/>
      <w:r>
        <w:rPr>
          <w:rFonts w:ascii="Times New Roman" w:hAnsi="Times New Roman" w:eastAsia="仿宋" w:cs="Times New Roman"/>
          <w:b/>
          <w:bCs/>
          <w:color w:val="auto"/>
          <w:spacing w:val="-2"/>
          <w:sz w:val="28"/>
          <w:szCs w:val="28"/>
          <w:lang w:eastAsia="zh-CN"/>
        </w:rPr>
        <w:t>（一）持续强化荒漠化防治</w:t>
      </w:r>
      <w:bookmarkEnd w:id="228"/>
    </w:p>
    <w:p w14:paraId="12888D74">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bookmarkStart w:id="229" w:name="OLE_LINK32"/>
      <w:bookmarkStart w:id="230" w:name="OLE_LINK31"/>
      <w:bookmarkStart w:id="231" w:name="OLE_LINK37"/>
      <w:bookmarkStart w:id="232" w:name="OLE_LINK35"/>
      <w:bookmarkStart w:id="233" w:name="OLE_LINK15"/>
      <w:bookmarkStart w:id="234" w:name="OLE_LINK14"/>
      <w:bookmarkStart w:id="235" w:name="OLE_LINK17"/>
      <w:bookmarkStart w:id="236" w:name="OLE_LINK16"/>
      <w:r>
        <w:rPr>
          <w:rFonts w:ascii="Times New Roman" w:hAnsi="Times New Roman" w:eastAsia="仿宋" w:cs="Times New Roman"/>
          <w:color w:val="auto"/>
          <w:spacing w:val="-5"/>
          <w:sz w:val="28"/>
          <w:szCs w:val="28"/>
          <w:lang w:eastAsia="zh-CN"/>
        </w:rPr>
        <w:t>建立沙地生态系统以自然恢复为主的修复机制，通过种植灌木、播撒草种，增加植被覆盖，阻止流沙移动，固定沙丘，确保沙地生态系统得到初步改善。重点对农田、村庄、道路、河流、水库、重要设施等需重点保护的流沙易侵地段，采取生物固沙与非生物固沙相结合的措施，有效防止沙地入侵，减少自然灾害。持续推进沙地防护林体系建设，统筹乔灌木，实施人</w:t>
      </w:r>
      <w:bookmarkEnd w:id="229"/>
      <w:bookmarkEnd w:id="230"/>
      <w:r>
        <w:rPr>
          <w:rFonts w:ascii="Times New Roman" w:hAnsi="Times New Roman" w:eastAsia="仿宋" w:cs="Times New Roman"/>
          <w:color w:val="auto"/>
          <w:spacing w:val="-5"/>
          <w:sz w:val="28"/>
          <w:szCs w:val="28"/>
          <w:lang w:eastAsia="zh-CN"/>
        </w:rPr>
        <w:t>工造林种草、飞播造林种草、封沙育林育草，在适宜地区设立沙化土地封育保护区。依托京津风沙源水土保持工程、科尔沁治</w:t>
      </w:r>
      <w:bookmarkEnd w:id="231"/>
      <w:bookmarkEnd w:id="232"/>
      <w:r>
        <w:rPr>
          <w:rFonts w:ascii="Times New Roman" w:hAnsi="Times New Roman" w:eastAsia="仿宋" w:cs="Times New Roman"/>
          <w:color w:val="auto"/>
          <w:spacing w:val="-5"/>
          <w:sz w:val="28"/>
          <w:szCs w:val="28"/>
          <w:lang w:eastAsia="zh-CN"/>
        </w:rPr>
        <w:t>理工程等，通过灌木种植、工程治沙，有效推进科尔沁沙地综合治理。大力开展沙化土地封禁保护建设。加强生态敏感区保护，加强沙地自然修复，逐步恢复沙地林草植被。大力推广“以路治沙”、 “以沙治沙”“光伏治沙”模式，结合围封禁牧、飞播造林种草、推广沙地水稻种植等措施，重点治理严重沙化退化草场。实施乌白线、乌浩线等生态治沙公路工程。通过沙产业、光伏行业技术，把沙漠劣势转变成资源优势，让沙漠变宝地，实现经济、生态双赢。在重点生态功能区、生态环境敏感区和脆弱区开展常态化人工影响天气作业。到2025年，全旗85%左右的沙地得到有效治理。</w:t>
      </w:r>
      <w:bookmarkEnd w:id="233"/>
      <w:bookmarkEnd w:id="234"/>
    </w:p>
    <w:bookmarkEnd w:id="235"/>
    <w:bookmarkEnd w:id="236"/>
    <w:p w14:paraId="0D2F5CB7">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37" w:name="_Toc183187244"/>
      <w:r>
        <w:rPr>
          <w:rFonts w:ascii="Times New Roman" w:hAnsi="Times New Roman" w:eastAsia="仿宋" w:cs="Times New Roman"/>
          <w:b/>
          <w:bCs/>
          <w:color w:val="auto"/>
          <w:spacing w:val="-2"/>
          <w:sz w:val="28"/>
          <w:szCs w:val="28"/>
          <w:lang w:eastAsia="zh-CN"/>
        </w:rPr>
        <w:t>（二）大力实施沙地资源保护</w:t>
      </w:r>
      <w:bookmarkEnd w:id="237"/>
    </w:p>
    <w:p w14:paraId="116913AB">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结合内蒙古高原生态修复及保护工程，以自然恢复为主、工程治理为辅，进一步加强科尔沁沙地防风固沙林区建设，强化沙地生态系统保护。实施沙化土地封禁保护区建设，在国家沙化土地封禁保护区内，禁止砍伐、樵采、开垦、放牧、采药、狩猎、勘探、开矿和滥用水资源等一切破坏植被的活动，禁止安置移民，禁止未经批准进行修建铁路、公路等建设活动。</w:t>
      </w:r>
    </w:p>
    <w:p w14:paraId="642FD5A3">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38" w:name="_Toc183187245"/>
      <w:r>
        <w:rPr>
          <w:rFonts w:ascii="Times New Roman" w:hAnsi="Times New Roman" w:eastAsia="仿宋" w:cs="Times New Roman"/>
          <w:b/>
          <w:bCs/>
          <w:color w:val="auto"/>
          <w:spacing w:val="-2"/>
          <w:sz w:val="28"/>
          <w:szCs w:val="28"/>
          <w:lang w:eastAsia="zh-CN"/>
        </w:rPr>
        <w:t>（三）合理开展沙地综合利用</w:t>
      </w:r>
      <w:bookmarkEnd w:id="238"/>
    </w:p>
    <w:p w14:paraId="75BF8D0F">
      <w:pPr>
        <w:widowControl w:val="0"/>
        <w:kinsoku/>
        <w:autoSpaceDE/>
        <w:autoSpaceDN/>
        <w:spacing w:line="560" w:lineRule="exact"/>
        <w:ind w:firstLine="540" w:firstLineChars="200"/>
        <w:jc w:val="both"/>
        <w:textAlignment w:val="auto"/>
        <w:rPr>
          <w:rFonts w:ascii="Times New Roman" w:hAnsi="Times New Roman" w:eastAsia="仿宋" w:cs="Times New Roman"/>
          <w:color w:val="auto"/>
          <w:spacing w:val="-5"/>
          <w:sz w:val="28"/>
          <w:szCs w:val="28"/>
          <w:lang w:eastAsia="zh-CN"/>
        </w:rPr>
      </w:pPr>
      <w:bookmarkStart w:id="239" w:name="OLE_LINK38"/>
      <w:bookmarkStart w:id="240" w:name="OLE_LINK46"/>
      <w:r>
        <w:rPr>
          <w:rFonts w:ascii="Times New Roman" w:hAnsi="Times New Roman" w:eastAsia="仿宋" w:cs="Times New Roman"/>
          <w:color w:val="auto"/>
          <w:spacing w:val="-5"/>
          <w:sz w:val="28"/>
          <w:szCs w:val="28"/>
          <w:lang w:eastAsia="zh-CN"/>
        </w:rPr>
        <w:t>依托科尔沁沙地完善“沙产业”布局，探索“治沙+致富”和“生态+增收”的新路子。大力发展沙地极限旅游产业，支撑区域特色旅游发展；推广沙地</w:t>
      </w:r>
      <w:bookmarkEnd w:id="239"/>
      <w:bookmarkEnd w:id="240"/>
      <w:r>
        <w:rPr>
          <w:rFonts w:ascii="Times New Roman" w:hAnsi="Times New Roman" w:eastAsia="仿宋" w:cs="Times New Roman"/>
          <w:color w:val="auto"/>
          <w:spacing w:val="-5"/>
          <w:sz w:val="28"/>
          <w:szCs w:val="28"/>
          <w:lang w:eastAsia="zh-CN"/>
        </w:rPr>
        <w:t>规模化养殖，启动优质牛羊养殖增量提效工程；适度种植沙地林果等产业，支撑农民创收；大力开展新能源产业，鼓励开发沙漠地区丰富的风能、太阳能、生物质能等可再生清洁资源。</w:t>
      </w:r>
    </w:p>
    <w:bookmarkEnd w:id="225"/>
    <w:bookmarkEnd w:id="226"/>
    <w:p w14:paraId="1EADAC5C">
      <w:pPr>
        <w:spacing w:line="560" w:lineRule="exact"/>
        <w:jc w:val="both"/>
        <w:outlineLvl w:val="1"/>
        <w:rPr>
          <w:rFonts w:ascii="Times New Roman" w:hAnsi="Times New Roman" w:eastAsia="黑体" w:cs="Times New Roman"/>
          <w:b/>
          <w:bCs/>
          <w:color w:val="auto"/>
          <w:sz w:val="30"/>
          <w:szCs w:val="32"/>
          <w:lang w:eastAsia="zh-CN"/>
        </w:rPr>
      </w:pPr>
      <w:bookmarkStart w:id="241" w:name="_Toc183187246"/>
      <w:bookmarkStart w:id="242" w:name="OLE_LINK55"/>
      <w:bookmarkStart w:id="243" w:name="OLE_LINK56"/>
      <w:r>
        <w:rPr>
          <w:rFonts w:ascii="Times New Roman" w:hAnsi="Times New Roman" w:eastAsia="黑体" w:cs="Times New Roman"/>
          <w:b/>
          <w:bCs/>
          <w:color w:val="auto"/>
          <w:sz w:val="30"/>
          <w:szCs w:val="32"/>
          <w:lang w:eastAsia="zh-CN"/>
        </w:rPr>
        <w:t>四、系统治理山水林田湖草沙</w:t>
      </w:r>
      <w:bookmarkEnd w:id="241"/>
    </w:p>
    <w:bookmarkEnd w:id="242"/>
    <w:bookmarkEnd w:id="243"/>
    <w:p w14:paraId="07BA1646">
      <w:pPr>
        <w:widowControl w:val="0"/>
        <w:spacing w:line="560" w:lineRule="exact"/>
        <w:ind w:firstLine="554" w:firstLineChars="200"/>
        <w:jc w:val="both"/>
        <w:outlineLvl w:val="2"/>
        <w:rPr>
          <w:rFonts w:ascii="Times New Roman" w:hAnsi="Times New Roman" w:eastAsia="仿宋_GB2312" w:cs="Times New Roman"/>
          <w:color w:val="auto"/>
          <w:sz w:val="28"/>
          <w:szCs w:val="28"/>
          <w:lang w:eastAsia="zh-CN"/>
        </w:rPr>
      </w:pPr>
      <w:bookmarkStart w:id="244" w:name="_Toc183187247"/>
      <w:r>
        <w:rPr>
          <w:rFonts w:ascii="Times New Roman" w:hAnsi="Times New Roman" w:eastAsia="仿宋" w:cs="Times New Roman"/>
          <w:b/>
          <w:bCs/>
          <w:color w:val="auto"/>
          <w:spacing w:val="-2"/>
          <w:sz w:val="28"/>
          <w:szCs w:val="28"/>
          <w:lang w:eastAsia="zh-CN"/>
        </w:rPr>
        <w:t>（一）</w:t>
      </w:r>
      <w:bookmarkStart w:id="245" w:name="_Hlk167955953"/>
      <w:r>
        <w:rPr>
          <w:rFonts w:ascii="Times New Roman" w:hAnsi="Times New Roman" w:eastAsia="仿宋" w:cs="Times New Roman"/>
          <w:b/>
          <w:bCs/>
          <w:color w:val="auto"/>
          <w:spacing w:val="-2"/>
          <w:sz w:val="28"/>
          <w:szCs w:val="28"/>
          <w:lang w:eastAsia="zh-CN"/>
        </w:rPr>
        <w:t>统筹推进</w:t>
      </w:r>
      <w:bookmarkStart w:id="246" w:name="OLE_LINK53"/>
      <w:bookmarkStart w:id="247" w:name="OLE_LINK54"/>
      <w:r>
        <w:rPr>
          <w:rFonts w:ascii="Times New Roman" w:hAnsi="Times New Roman" w:eastAsia="仿宋" w:cs="Times New Roman"/>
          <w:b/>
          <w:bCs/>
          <w:color w:val="auto"/>
          <w:spacing w:val="-2"/>
          <w:sz w:val="28"/>
          <w:szCs w:val="28"/>
          <w:lang w:eastAsia="zh-CN"/>
        </w:rPr>
        <w:t>山水林田湖草沙</w:t>
      </w:r>
      <w:bookmarkEnd w:id="246"/>
      <w:bookmarkEnd w:id="247"/>
      <w:r>
        <w:rPr>
          <w:rFonts w:ascii="Times New Roman" w:hAnsi="Times New Roman" w:eastAsia="仿宋" w:cs="Times New Roman"/>
          <w:b/>
          <w:bCs/>
          <w:color w:val="auto"/>
          <w:spacing w:val="-2"/>
          <w:sz w:val="28"/>
          <w:szCs w:val="28"/>
          <w:lang w:eastAsia="zh-CN"/>
        </w:rPr>
        <w:t>一体化治理</w:t>
      </w:r>
      <w:bookmarkEnd w:id="244"/>
      <w:bookmarkEnd w:id="245"/>
    </w:p>
    <w:p w14:paraId="08F52E89">
      <w:pPr>
        <w:widowControl w:val="0"/>
        <w:spacing w:line="560" w:lineRule="exact"/>
        <w:ind w:firstLine="564"/>
        <w:jc w:val="both"/>
        <w:rPr>
          <w:rFonts w:ascii="Times New Roman" w:hAnsi="Times New Roman" w:eastAsia="仿宋" w:cs="Times New Roman"/>
          <w:color w:val="auto"/>
          <w:sz w:val="28"/>
          <w:szCs w:val="28"/>
          <w:lang w:eastAsia="zh-CN"/>
        </w:rPr>
      </w:pPr>
      <w:bookmarkStart w:id="248" w:name="OLE_LINK51"/>
      <w:bookmarkStart w:id="249" w:name="OLE_LINK52"/>
      <w:r>
        <w:rPr>
          <w:rFonts w:ascii="Times New Roman" w:hAnsi="Times New Roman" w:eastAsia="仿宋" w:cs="Times New Roman"/>
          <w:color w:val="auto"/>
          <w:spacing w:val="-5"/>
          <w:sz w:val="28"/>
          <w:szCs w:val="28"/>
          <w:lang w:eastAsia="zh-CN"/>
        </w:rPr>
        <w:t>坚持山水林田湖草沙是一个生命共同体理念</w:t>
      </w:r>
      <w:r>
        <w:rPr>
          <w:rFonts w:ascii="Times New Roman" w:hAnsi="Times New Roman" w:eastAsia="微软雅黑" w:cs="Times New Roman"/>
          <w:color w:val="auto"/>
          <w:spacing w:val="-5"/>
          <w:szCs w:val="28"/>
          <w:lang w:eastAsia="zh-CN"/>
        </w:rPr>
        <w:t>，</w:t>
      </w:r>
      <w:r>
        <w:rPr>
          <w:rFonts w:ascii="Times New Roman" w:hAnsi="Times New Roman" w:eastAsia="仿宋" w:cs="Times New Roman"/>
          <w:color w:val="auto"/>
          <w:spacing w:val="-5"/>
          <w:sz w:val="28"/>
          <w:szCs w:val="28"/>
          <w:lang w:eastAsia="zh-CN"/>
        </w:rPr>
        <w:t>严格以水定地、量水而行，统筹实施各类重大生态保护修复工程，合理配置林、灌、草植被比重和空间分布，全</w:t>
      </w:r>
      <w:r>
        <w:rPr>
          <w:rFonts w:ascii="Times New Roman" w:hAnsi="Times New Roman" w:eastAsia="仿宋" w:cs="Times New Roman"/>
          <w:color w:val="auto"/>
          <w:spacing w:val="-4"/>
          <w:sz w:val="28"/>
          <w:szCs w:val="28"/>
          <w:lang w:eastAsia="zh-CN"/>
        </w:rPr>
        <w:t>面改善森林、草原、荒漠、湿地等自然生态系统质</w:t>
      </w:r>
      <w:r>
        <w:rPr>
          <w:rFonts w:ascii="Times New Roman" w:hAnsi="Times New Roman" w:eastAsia="仿宋" w:cs="Times New Roman"/>
          <w:color w:val="auto"/>
          <w:spacing w:val="-5"/>
          <w:sz w:val="28"/>
          <w:szCs w:val="28"/>
          <w:lang w:eastAsia="zh-CN"/>
        </w:rPr>
        <w:t>量，</w:t>
      </w:r>
      <w:r>
        <w:rPr>
          <w:rFonts w:ascii="Times New Roman" w:hAnsi="Times New Roman" w:eastAsia="仿宋" w:cs="Times New Roman"/>
          <w:color w:val="auto"/>
          <w:spacing w:val="-1"/>
          <w:sz w:val="28"/>
          <w:szCs w:val="28"/>
          <w:lang w:eastAsia="zh-CN"/>
        </w:rPr>
        <w:t>提升生态系统多样性、稳定性和持续性。</w:t>
      </w:r>
      <w:bookmarkStart w:id="250" w:name="OLE_LINK93"/>
      <w:bookmarkStart w:id="251" w:name="OLE_LINK94"/>
      <w:r>
        <w:rPr>
          <w:rFonts w:ascii="Times New Roman" w:hAnsi="Times New Roman" w:eastAsia="仿宋" w:cs="Times New Roman"/>
          <w:color w:val="auto"/>
          <w:spacing w:val="-5"/>
          <w:sz w:val="28"/>
          <w:szCs w:val="28"/>
          <w:lang w:eastAsia="zh-CN"/>
        </w:rPr>
        <w:t>加强</w:t>
      </w:r>
      <w:bookmarkStart w:id="252" w:name="OLE_LINK62"/>
      <w:bookmarkStart w:id="253" w:name="OLE_LINK63"/>
      <w:r>
        <w:rPr>
          <w:rFonts w:ascii="Times New Roman" w:hAnsi="Times New Roman" w:eastAsia="仿宋" w:cs="Times New Roman"/>
          <w:color w:val="auto"/>
          <w:spacing w:val="-5"/>
          <w:sz w:val="28"/>
          <w:szCs w:val="28"/>
          <w:lang w:eastAsia="zh-CN"/>
        </w:rPr>
        <w:t>乌丹镇、广德公镇、海拉苏镇、亿合公镇、阿什罕苏木、白音套海苏木、毛山东乡、格日僧苏木8个乡镇（苏木）</w:t>
      </w:r>
      <w:bookmarkEnd w:id="252"/>
      <w:bookmarkEnd w:id="253"/>
      <w:bookmarkStart w:id="254" w:name="OLE_LINK64"/>
      <w:bookmarkStart w:id="255" w:name="OLE_LINK65"/>
      <w:r>
        <w:rPr>
          <w:rFonts w:ascii="Times New Roman" w:hAnsi="Times New Roman" w:eastAsia="仿宋" w:cs="Times New Roman"/>
          <w:color w:val="auto"/>
          <w:spacing w:val="-5"/>
          <w:sz w:val="28"/>
          <w:szCs w:val="28"/>
          <w:lang w:eastAsia="zh-CN"/>
        </w:rPr>
        <w:t>重点生态功能区</w:t>
      </w:r>
      <w:bookmarkEnd w:id="254"/>
      <w:bookmarkEnd w:id="255"/>
      <w:r>
        <w:rPr>
          <w:rFonts w:ascii="Times New Roman" w:hAnsi="Times New Roman" w:eastAsia="仿宋" w:cs="Times New Roman"/>
          <w:color w:val="auto"/>
          <w:spacing w:val="-5"/>
          <w:sz w:val="28"/>
          <w:szCs w:val="28"/>
          <w:lang w:eastAsia="zh-CN"/>
        </w:rPr>
        <w:t>的保护和治理。该区域是加强生态安全，完善防沙治沙体系，维护林草湿生态系统服务功能，保障区域生态安全，推进山水林田湖草沙一体化保护和系统治理，提升生态产品服务价值的重点区域。</w:t>
      </w:r>
      <w:bookmarkEnd w:id="248"/>
      <w:bookmarkEnd w:id="249"/>
      <w:r>
        <w:rPr>
          <w:rFonts w:ascii="Times New Roman" w:hAnsi="Times New Roman" w:eastAsia="仿宋" w:cs="Times New Roman"/>
          <w:color w:val="auto"/>
          <w:spacing w:val="-4"/>
          <w:sz w:val="28"/>
          <w:szCs w:val="28"/>
          <w:lang w:eastAsia="zh-CN"/>
        </w:rPr>
        <w:t>加强重要生态系统和重大生态保护修复</w:t>
      </w:r>
      <w:r>
        <w:rPr>
          <w:rFonts w:ascii="Times New Roman" w:hAnsi="Times New Roman" w:eastAsia="仿宋" w:cs="Times New Roman"/>
          <w:color w:val="auto"/>
          <w:spacing w:val="-5"/>
          <w:sz w:val="28"/>
          <w:szCs w:val="28"/>
          <w:lang w:eastAsia="zh-CN"/>
        </w:rPr>
        <w:t>工程区生态监测，</w:t>
      </w:r>
      <w:bookmarkStart w:id="256" w:name="OLE_LINK95"/>
      <w:bookmarkStart w:id="257" w:name="OLE_LINK96"/>
      <w:r>
        <w:rPr>
          <w:rFonts w:ascii="Times New Roman" w:hAnsi="Times New Roman" w:eastAsia="仿宋" w:cs="Times New Roman"/>
          <w:color w:val="auto"/>
          <w:spacing w:val="-5"/>
          <w:sz w:val="28"/>
          <w:szCs w:val="28"/>
          <w:lang w:eastAsia="zh-CN"/>
        </w:rPr>
        <w:t>综</w:t>
      </w:r>
      <w:r>
        <w:rPr>
          <w:rFonts w:ascii="Times New Roman" w:hAnsi="Times New Roman" w:eastAsia="仿宋" w:cs="Times New Roman"/>
          <w:color w:val="auto"/>
          <w:spacing w:val="-4"/>
          <w:sz w:val="28"/>
          <w:szCs w:val="28"/>
          <w:lang w:eastAsia="zh-CN"/>
        </w:rPr>
        <w:t>合评估生态系统变化状况和工程实施成效，科学指导生态</w:t>
      </w:r>
      <w:r>
        <w:rPr>
          <w:rFonts w:ascii="Times New Roman" w:hAnsi="Times New Roman" w:eastAsia="仿宋" w:cs="Times New Roman"/>
          <w:color w:val="auto"/>
          <w:spacing w:val="-5"/>
          <w:sz w:val="28"/>
          <w:szCs w:val="28"/>
          <w:lang w:eastAsia="zh-CN"/>
        </w:rPr>
        <w:t>保护修复工作深</w:t>
      </w:r>
      <w:r>
        <w:rPr>
          <w:rFonts w:ascii="Times New Roman" w:hAnsi="Times New Roman" w:eastAsia="仿宋" w:cs="Times New Roman"/>
          <w:color w:val="auto"/>
          <w:spacing w:val="-4"/>
          <w:sz w:val="28"/>
          <w:szCs w:val="28"/>
          <w:lang w:eastAsia="zh-CN"/>
        </w:rPr>
        <w:t>入推进，</w:t>
      </w:r>
      <w:bookmarkEnd w:id="256"/>
      <w:bookmarkEnd w:id="257"/>
      <w:r>
        <w:rPr>
          <w:rFonts w:ascii="Times New Roman" w:hAnsi="Times New Roman" w:eastAsia="仿宋" w:cs="Times New Roman"/>
          <w:color w:val="auto"/>
          <w:spacing w:val="-4"/>
          <w:sz w:val="28"/>
          <w:szCs w:val="28"/>
          <w:lang w:eastAsia="zh-CN"/>
        </w:rPr>
        <w:t>支撑筑牢祖国北方重要生态安全屏障。</w:t>
      </w:r>
      <w:bookmarkEnd w:id="250"/>
      <w:bookmarkEnd w:id="251"/>
    </w:p>
    <w:p w14:paraId="0856D51F">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58" w:name="_Toc183187248"/>
      <w:r>
        <w:rPr>
          <w:rFonts w:ascii="Times New Roman" w:hAnsi="Times New Roman" w:eastAsia="仿宋" w:cs="Times New Roman"/>
          <w:b/>
          <w:bCs/>
          <w:color w:val="auto"/>
          <w:spacing w:val="-2"/>
          <w:sz w:val="28"/>
          <w:szCs w:val="28"/>
          <w:lang w:eastAsia="zh-CN"/>
        </w:rPr>
        <w:t>（二）不断增强草原生态保护和修复力度</w:t>
      </w:r>
      <w:bookmarkEnd w:id="258"/>
    </w:p>
    <w:p w14:paraId="54BEC65A">
      <w:pPr>
        <w:widowControl w:val="0"/>
        <w:kinsoku/>
        <w:autoSpaceDE/>
        <w:adjustRightInd/>
        <w:snapToGrid/>
        <w:spacing w:line="560" w:lineRule="exact"/>
        <w:ind w:firstLine="540" w:firstLineChars="200"/>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 xml:space="preserve">严格落实草原生态保护，全面推行草畜平衡、禁牧休牧制度；基于草原承载力约束，有效控制草原载畜量，必要时划区轮牧、退牧还草；落实草原生态保护补助奖励制度，建立草原长效保护机制。提升草原资源效益，实施草原分类管控。持续强化草原生态修复。严格保护已有草原，开展内蒙古高原生态保护和修复工程，采取围栏封育、建设人工饲草地、建设草种基地等措施，促进牧草更新，逐渐恢复草地生产力；实施退化草原修复工程，对退化牧场、已垦草原、矿山破坏草原进行围封补播、节水灌溉、施肥管护等措施，促进退化草原功能恢复，草原生物量和多样性显著增加。到2025年，全旗基本草原面积不低于本地区划定面积，草原综合植被盖度持续改善。 </w:t>
      </w:r>
    </w:p>
    <w:p w14:paraId="1E5BD34C">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59" w:name="_Toc183187249"/>
      <w:bookmarkStart w:id="260" w:name="OLE_LINK66"/>
      <w:bookmarkStart w:id="261" w:name="OLE_LINK61"/>
      <w:r>
        <w:rPr>
          <w:rFonts w:ascii="Times New Roman" w:hAnsi="Times New Roman" w:eastAsia="仿宋" w:cs="Times New Roman"/>
          <w:b/>
          <w:bCs/>
          <w:color w:val="auto"/>
          <w:spacing w:val="-2"/>
          <w:sz w:val="28"/>
          <w:szCs w:val="28"/>
          <w:lang w:eastAsia="zh-CN"/>
        </w:rPr>
        <w:t>（三）持续开展林地资源保护与利用</w:t>
      </w:r>
      <w:bookmarkEnd w:id="259"/>
    </w:p>
    <w:p w14:paraId="54BE9D57">
      <w:pPr>
        <w:spacing w:line="560" w:lineRule="exact"/>
        <w:ind w:firstLine="560" w:firstLineChars="200"/>
        <w:jc w:val="both"/>
        <w:rPr>
          <w:rFonts w:ascii="Times New Roman" w:hAnsi="Times New Roman" w:eastAsia="仿宋" w:cs="Times New Roman"/>
          <w:sz w:val="28"/>
          <w:szCs w:val="28"/>
          <w:lang w:eastAsia="zh-CN"/>
        </w:rPr>
      </w:pPr>
      <w:bookmarkStart w:id="262" w:name="_Toc31242"/>
      <w:bookmarkStart w:id="263" w:name="_Toc32300"/>
      <w:r>
        <w:rPr>
          <w:rFonts w:ascii="Times New Roman" w:hAnsi="Times New Roman" w:eastAsia="仿宋" w:cs="Times New Roman"/>
          <w:sz w:val="28"/>
          <w:szCs w:val="28"/>
          <w:lang w:eastAsia="zh-CN"/>
        </w:rPr>
        <w:t>提升森林资源质量</w:t>
      </w:r>
      <w:bookmarkEnd w:id="262"/>
      <w:r>
        <w:rPr>
          <w:rFonts w:ascii="Times New Roman" w:hAnsi="Times New Roman" w:eastAsia="仿宋" w:cs="Times New Roman"/>
          <w:sz w:val="28"/>
          <w:szCs w:val="28"/>
          <w:lang w:eastAsia="zh-CN"/>
        </w:rPr>
        <w:t>。实施森林质量精准提升工程，加强天然林保护、退化林修复，遏制林缘后退；通过抚育采伐和补植补造，调整林分密度，改善林分环境，提高森林生态系统稳定性；退化林采取补植补造、树种替换等方式，调整和优化林分树种结构、龄组结构和密度结构，提高森林生态效益。突出森林经营的效益性，采取“宜造则造、宜抚则抚、宜改则改、宜封则封、宜留则留”的灵活作业方式，促进森林资源科学经营、合理培育，实现森林生态系统的效益协同。</w:t>
      </w:r>
    </w:p>
    <w:p w14:paraId="73B5F838">
      <w:pPr>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明确造林绿化空间</w:t>
      </w:r>
      <w:bookmarkEnd w:id="263"/>
      <w:r>
        <w:rPr>
          <w:rFonts w:ascii="Times New Roman" w:hAnsi="Times New Roman" w:eastAsia="仿宋" w:cs="Times New Roman"/>
          <w:sz w:val="28"/>
          <w:szCs w:val="28"/>
          <w:lang w:eastAsia="zh-CN"/>
        </w:rPr>
        <w:t>。造林绿化空间主要分布在东部沙地区和西部丘陵山地区。开展造林绿化，依托内蒙古高原生态保护和修复工程和重点林业生态工程，合理安排未利用地造林绿化，划定天然林、生态公益林等基本林地集中保护区；积极推进交通廊道和生态廊道建设，建成覆盖全旗的绿色通道网络，着力构建片、带、网、点相结合的国土空间绿化体系，</w:t>
      </w:r>
      <w:bookmarkStart w:id="264" w:name="OLE_LINK71"/>
      <w:bookmarkStart w:id="265" w:name="OLE_LINK72"/>
      <w:r>
        <w:rPr>
          <w:rFonts w:ascii="Times New Roman" w:hAnsi="Times New Roman" w:eastAsia="仿宋" w:cs="Times New Roman"/>
          <w:sz w:val="28"/>
          <w:szCs w:val="28"/>
          <w:lang w:eastAsia="zh-CN"/>
        </w:rPr>
        <w:t>全面提升国土空间绿化水平</w:t>
      </w:r>
      <w:bookmarkEnd w:id="264"/>
      <w:bookmarkEnd w:id="265"/>
      <w:r>
        <w:rPr>
          <w:rFonts w:ascii="Times New Roman" w:hAnsi="Times New Roman" w:eastAsia="仿宋" w:cs="Times New Roman"/>
          <w:sz w:val="28"/>
          <w:szCs w:val="28"/>
          <w:lang w:eastAsia="zh-CN"/>
        </w:rPr>
        <w:t>。至2025年，森林覆盖率达到29.72%。</w:t>
      </w:r>
    </w:p>
    <w:bookmarkEnd w:id="260"/>
    <w:bookmarkEnd w:id="261"/>
    <w:p w14:paraId="70C8CF5C">
      <w:pPr>
        <w:spacing w:line="560" w:lineRule="exact"/>
        <w:jc w:val="both"/>
        <w:outlineLvl w:val="1"/>
        <w:rPr>
          <w:rFonts w:ascii="Times New Roman" w:hAnsi="Times New Roman" w:eastAsia="黑体" w:cs="Times New Roman"/>
          <w:b/>
          <w:bCs/>
          <w:color w:val="auto"/>
          <w:sz w:val="30"/>
          <w:szCs w:val="32"/>
          <w:lang w:eastAsia="zh-CN"/>
        </w:rPr>
      </w:pPr>
      <w:bookmarkStart w:id="266" w:name="_Toc183187250"/>
      <w:r>
        <w:rPr>
          <w:rFonts w:ascii="Times New Roman" w:hAnsi="Times New Roman" w:eastAsia="黑体" w:cs="Times New Roman"/>
          <w:b/>
          <w:bCs/>
          <w:color w:val="auto"/>
          <w:sz w:val="30"/>
          <w:szCs w:val="32"/>
          <w:lang w:eastAsia="zh-CN"/>
        </w:rPr>
        <w:t>五、加强生物多样性保护</w:t>
      </w:r>
      <w:bookmarkEnd w:id="266"/>
    </w:p>
    <w:p w14:paraId="3A8E503D">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67" w:name="_Toc183187251"/>
      <w:r>
        <w:rPr>
          <w:rFonts w:ascii="Times New Roman" w:hAnsi="Times New Roman" w:eastAsia="仿宋" w:cs="Times New Roman"/>
          <w:b/>
          <w:bCs/>
          <w:color w:val="auto"/>
          <w:spacing w:val="-2"/>
          <w:sz w:val="28"/>
          <w:szCs w:val="28"/>
          <w:lang w:eastAsia="zh-CN"/>
        </w:rPr>
        <w:t>（一）加强自然保护地体系建设</w:t>
      </w:r>
      <w:bookmarkEnd w:id="267"/>
    </w:p>
    <w:p w14:paraId="10C2A8FF">
      <w:pPr>
        <w:spacing w:line="560" w:lineRule="exact"/>
        <w:ind w:firstLine="540" w:firstLineChars="200"/>
        <w:jc w:val="both"/>
        <w:rPr>
          <w:rFonts w:ascii="Times New Roman" w:hAnsi="Times New Roman" w:eastAsia="仿宋" w:cs="Times New Roman"/>
          <w:color w:val="auto"/>
          <w:spacing w:val="-5"/>
          <w:sz w:val="28"/>
          <w:szCs w:val="28"/>
          <w:shd w:val="clear" w:color="auto" w:fill="FFFFFF" w:themeFill="background1"/>
          <w:lang w:eastAsia="zh-CN"/>
        </w:rPr>
      </w:pPr>
      <w:r>
        <w:rPr>
          <w:rFonts w:ascii="Times New Roman" w:hAnsi="Times New Roman" w:eastAsia="仿宋" w:cs="Times New Roman"/>
          <w:color w:val="auto"/>
          <w:spacing w:val="-5"/>
          <w:sz w:val="28"/>
          <w:szCs w:val="28"/>
          <w:shd w:val="clear" w:color="auto" w:fill="FFFFFF" w:themeFill="background1"/>
          <w:lang w:eastAsia="zh-CN"/>
        </w:rPr>
        <w:t>依托自然保护区、草原、沙漠、湿地及地质公园，推进自然保护地优化整合，建立以国家公园为主体、自然保护区为基础、各类自然公园为补充的自然保护地体系。确保重要自然生态系统、自然遗迹、自然景观和生物多样性得到系统性保护，提升生态产品供给能力。加强西拉沐沦河、老哈河、羊肠子河、布日敦湖等流域</w:t>
      </w:r>
      <w:bookmarkStart w:id="268" w:name="OLE_LINK87"/>
      <w:bookmarkStart w:id="269" w:name="OLE_LINK88"/>
      <w:r>
        <w:rPr>
          <w:rFonts w:ascii="Times New Roman" w:hAnsi="Times New Roman" w:eastAsia="仿宋" w:cs="Times New Roman"/>
          <w:color w:val="auto"/>
          <w:spacing w:val="-5"/>
          <w:sz w:val="28"/>
          <w:szCs w:val="28"/>
          <w:shd w:val="clear" w:color="auto" w:fill="FFFFFF" w:themeFill="background1"/>
          <w:lang w:eastAsia="zh-CN"/>
        </w:rPr>
        <w:t>湿地生态修复重点区</w:t>
      </w:r>
      <w:bookmarkEnd w:id="268"/>
      <w:bookmarkEnd w:id="269"/>
      <w:r>
        <w:rPr>
          <w:rFonts w:ascii="Times New Roman" w:hAnsi="Times New Roman" w:eastAsia="仿宋" w:cs="Times New Roman"/>
          <w:color w:val="auto"/>
          <w:spacing w:val="-5"/>
          <w:sz w:val="28"/>
          <w:szCs w:val="28"/>
          <w:shd w:val="clear" w:color="auto" w:fill="FFFFFF" w:themeFill="background1"/>
          <w:lang w:eastAsia="zh-CN"/>
        </w:rPr>
        <w:t>及内蒙古松树山自治区级自然保护区等林草生态修复重点区的保护，降低生物多样性受损、生物多样性减少风险。</w:t>
      </w:r>
    </w:p>
    <w:p w14:paraId="400C7C7C">
      <w:pPr>
        <w:spacing w:line="560" w:lineRule="exact"/>
        <w:ind w:firstLine="540" w:firstLineChars="200"/>
        <w:jc w:val="both"/>
        <w:rPr>
          <w:rFonts w:ascii="Times New Roman" w:hAnsi="Times New Roman" w:eastAsia="仿宋" w:cs="Times New Roman"/>
          <w:color w:val="auto"/>
          <w:spacing w:val="-5"/>
          <w:sz w:val="28"/>
          <w:szCs w:val="28"/>
          <w:shd w:val="clear" w:color="auto" w:fill="FFFFFF" w:themeFill="background1"/>
          <w:lang w:eastAsia="zh-CN"/>
        </w:rPr>
      </w:pPr>
      <w:r>
        <w:rPr>
          <w:rFonts w:ascii="Times New Roman" w:hAnsi="Times New Roman" w:eastAsia="仿宋" w:cs="Times New Roman"/>
          <w:color w:val="auto"/>
          <w:spacing w:val="-5"/>
          <w:sz w:val="28"/>
          <w:szCs w:val="28"/>
          <w:shd w:val="clear" w:color="auto" w:fill="FFFFFF" w:themeFill="background1"/>
          <w:lang w:eastAsia="zh-CN"/>
        </w:rPr>
        <w:t>发挥自然保护地的游憩功能。立足周边地区的重要自然资源与人文特色，以服务居民的休闲需求为抓手，打造以自然公园为主体的生态旅游走廊。通过加强自然与人文要素融合，积极培育生态休闲、游憩体验、研学教育、科学普及等功能。在符合国家法律法规和生态保护要求前提下，在自然保护地核心保护区外允许开展相关必要的公共设施建设及维护，对开发建设活动实施统一的用途管制并实施监督。</w:t>
      </w:r>
    </w:p>
    <w:p w14:paraId="5D5AB444">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70" w:name="_Toc183187252"/>
      <w:r>
        <w:rPr>
          <w:rFonts w:ascii="Times New Roman" w:hAnsi="Times New Roman" w:eastAsia="仿宋" w:cs="Times New Roman"/>
          <w:b/>
          <w:bCs/>
          <w:color w:val="auto"/>
          <w:spacing w:val="-2"/>
          <w:sz w:val="28"/>
          <w:szCs w:val="28"/>
          <w:lang w:eastAsia="zh-CN"/>
        </w:rPr>
        <w:t>（二）加强生物多样性保护</w:t>
      </w:r>
      <w:bookmarkEnd w:id="270"/>
    </w:p>
    <w:p w14:paraId="0533F9C8">
      <w:pPr>
        <w:widowControl w:val="0"/>
        <w:spacing w:line="560" w:lineRule="exact"/>
        <w:ind w:firstLine="564"/>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配合自治区、赤峰市深入开展生物多样性调查，系统掌握物种数量、分布、保护状况、受威胁因素、潜在风险等。持续推进重点区域生态系统、重点生物物种及重要生物遗传资源调查，实现有效保护，提升国家重点保护野生动植物保护率和特有性或指示性水生物种保持率。建立生物多样性监测、评估与预警体系，有效防范外来物种入侵，维护生物安全。持续加大生物多样性保护监督和执法力度，提高公共对于生物多样性保护的意识，促进人与自然和谐。</w:t>
      </w:r>
      <w:r>
        <w:rPr>
          <w:rFonts w:ascii="Times New Roman" w:hAnsi="Times New Roman" w:eastAsia="仿宋" w:cs="Times New Roman"/>
          <w:snapToGrid/>
          <w:sz w:val="28"/>
          <w:szCs w:val="28"/>
          <w:lang w:eastAsia="zh-CN"/>
        </w:rPr>
        <w:t>加强防治外来入侵物种，保护自然生态健康。</w:t>
      </w:r>
      <w:bookmarkEnd w:id="178"/>
      <w:bookmarkEnd w:id="179"/>
    </w:p>
    <w:p w14:paraId="5B09284F">
      <w:pPr>
        <w:rPr>
          <w:rFonts w:ascii="Times New Roman" w:hAnsi="Times New Roman" w:cs="Times New Roman" w:eastAsiaTheme="minorEastAsia"/>
          <w:shd w:val="clear" w:color="auto" w:fill="FFC000"/>
          <w:lang w:eastAsia="zh-CN"/>
        </w:rPr>
        <w:sectPr>
          <w:headerReference r:id="rId9" w:type="default"/>
          <w:pgSz w:w="11907" w:h="16839"/>
          <w:pgMar w:top="1440" w:right="1797" w:bottom="1440" w:left="1797" w:header="1020" w:footer="1020" w:gutter="0"/>
          <w:cols w:space="720" w:num="1"/>
          <w:docGrid w:linePitch="286" w:charSpace="0"/>
        </w:sectPr>
      </w:pPr>
    </w:p>
    <w:p w14:paraId="52AC096A">
      <w:pPr>
        <w:pStyle w:val="2"/>
        <w:jc w:val="center"/>
        <w:rPr>
          <w:rFonts w:hint="default" w:ascii="Times New Roman" w:hAnsi="Times New Roman"/>
          <w:color w:val="auto"/>
          <w:sz w:val="30"/>
          <w:szCs w:val="30"/>
        </w:rPr>
      </w:pPr>
      <w:bookmarkStart w:id="271" w:name="_Toc183187253"/>
      <w:r>
        <w:rPr>
          <w:rFonts w:hint="default" w:ascii="Times New Roman" w:hAnsi="Times New Roman"/>
          <w:color w:val="auto"/>
        </w:rPr>
        <w:t>第四章 生态安全体系建设</w:t>
      </w:r>
      <w:bookmarkEnd w:id="271"/>
    </w:p>
    <w:p w14:paraId="2CF20F6F">
      <w:pPr>
        <w:spacing w:line="560" w:lineRule="exact"/>
        <w:jc w:val="both"/>
        <w:outlineLvl w:val="1"/>
        <w:rPr>
          <w:rFonts w:ascii="Times New Roman" w:hAnsi="Times New Roman" w:eastAsia="黑体" w:cs="Times New Roman"/>
          <w:b/>
          <w:bCs/>
          <w:color w:val="auto"/>
          <w:sz w:val="30"/>
          <w:szCs w:val="32"/>
          <w:lang w:eastAsia="zh-CN"/>
        </w:rPr>
      </w:pPr>
      <w:bookmarkStart w:id="272" w:name="bookmark51"/>
      <w:bookmarkEnd w:id="272"/>
      <w:bookmarkStart w:id="273" w:name="bookmark52"/>
      <w:bookmarkEnd w:id="273"/>
      <w:bookmarkStart w:id="274" w:name="_Toc183187254"/>
      <w:r>
        <w:rPr>
          <w:rFonts w:ascii="Times New Roman" w:hAnsi="Times New Roman" w:eastAsia="黑体" w:cs="Times New Roman"/>
          <w:b/>
          <w:bCs/>
          <w:color w:val="auto"/>
          <w:sz w:val="30"/>
          <w:szCs w:val="32"/>
          <w:lang w:eastAsia="zh-CN"/>
        </w:rPr>
        <w:t>一、提升水环境质量</w:t>
      </w:r>
      <w:bookmarkEnd w:id="274"/>
    </w:p>
    <w:p w14:paraId="5A93FD38">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75" w:name="_Toc183187255"/>
      <w:bookmarkStart w:id="276" w:name="OLE_LINK411"/>
      <w:bookmarkStart w:id="277" w:name="OLE_LINK412"/>
      <w:r>
        <w:rPr>
          <w:rFonts w:ascii="Times New Roman" w:hAnsi="Times New Roman" w:eastAsia="仿宋" w:cs="Times New Roman"/>
          <w:b/>
          <w:bCs/>
          <w:color w:val="auto"/>
          <w:spacing w:val="-2"/>
          <w:sz w:val="28"/>
          <w:szCs w:val="28"/>
          <w:lang w:eastAsia="zh-CN"/>
        </w:rPr>
        <w:t>（一）强化水资源保障，建设节水型社会</w:t>
      </w:r>
      <w:bookmarkEnd w:id="275"/>
    </w:p>
    <w:p w14:paraId="0C979ABD">
      <w:pPr>
        <w:spacing w:line="560" w:lineRule="exact"/>
        <w:ind w:firstLine="562" w:firstLineChars="200"/>
        <w:jc w:val="both"/>
        <w:rPr>
          <w:rFonts w:ascii="Times New Roman" w:hAnsi="Times New Roman" w:eastAsia="仿宋" w:cs="Times New Roman"/>
          <w:sz w:val="28"/>
          <w:szCs w:val="28"/>
          <w:shd w:val="clear" w:color="auto" w:fill="FFFFFF" w:themeFill="background1"/>
          <w:lang w:eastAsia="zh-CN"/>
        </w:rPr>
      </w:pPr>
      <w:r>
        <w:rPr>
          <w:rFonts w:ascii="Times New Roman" w:hAnsi="Times New Roman" w:eastAsia="仿宋" w:cs="Times New Roman"/>
          <w:b/>
          <w:sz w:val="28"/>
          <w:szCs w:val="28"/>
          <w:shd w:val="clear" w:color="auto" w:fill="FFFFFF" w:themeFill="background1"/>
          <w:lang w:eastAsia="zh-CN"/>
        </w:rPr>
        <w:t>优化水资源配置。</w:t>
      </w:r>
      <w:r>
        <w:rPr>
          <w:rFonts w:ascii="Times New Roman" w:hAnsi="Times New Roman" w:eastAsia="仿宋" w:cs="Times New Roman"/>
          <w:sz w:val="28"/>
          <w:szCs w:val="28"/>
          <w:shd w:val="clear" w:color="auto" w:fill="FFFFFF" w:themeFill="background1"/>
          <w:lang w:eastAsia="zh-CN"/>
        </w:rPr>
        <w:t>优化用水结构，合理安排生产、生活、生态用水，推动水资源科学利用。按照“保生活、稳工业、增生态、控农业”配置思路，优先满足生活用水，高质量保障城乡生活用水需求；稳定保障工业用水，推进节水增效；科学保障生态环境用水；合理控制农业用水，全面推进高效节水农业，在保障有效灌溉的基础上，逐步降低农业用水规模，确保粮食安全。</w:t>
      </w:r>
    </w:p>
    <w:p w14:paraId="0E7B752F">
      <w:pPr>
        <w:spacing w:line="560" w:lineRule="exact"/>
        <w:ind w:firstLine="557"/>
        <w:jc w:val="both"/>
        <w:rPr>
          <w:rFonts w:ascii="Times New Roman" w:hAnsi="Times New Roman" w:eastAsia="仿宋" w:cs="Times New Roman"/>
          <w:color w:val="auto"/>
          <w:spacing w:val="-5"/>
          <w:sz w:val="28"/>
          <w:szCs w:val="28"/>
          <w:shd w:val="clear" w:color="auto" w:fill="FFFFFF" w:themeFill="background1"/>
          <w:lang w:eastAsia="zh-CN"/>
        </w:rPr>
      </w:pPr>
      <w:r>
        <w:rPr>
          <w:rFonts w:ascii="Times New Roman" w:hAnsi="Times New Roman" w:eastAsia="仿宋" w:cs="Times New Roman"/>
          <w:b/>
          <w:color w:val="auto"/>
          <w:spacing w:val="-5"/>
          <w:sz w:val="28"/>
          <w:szCs w:val="28"/>
          <w:shd w:val="clear" w:color="auto" w:fill="FFFFFF" w:themeFill="background1"/>
          <w:lang w:eastAsia="zh-CN"/>
        </w:rPr>
        <w:t>严格落实管控指标。</w:t>
      </w:r>
      <w:r>
        <w:rPr>
          <w:rFonts w:ascii="Times New Roman" w:hAnsi="Times New Roman" w:eastAsia="仿宋" w:cs="Times New Roman"/>
          <w:color w:val="auto"/>
          <w:spacing w:val="-5"/>
          <w:sz w:val="28"/>
          <w:szCs w:val="28"/>
          <w:shd w:val="clear" w:color="auto" w:fill="FFFFFF" w:themeFill="background1"/>
          <w:lang w:eastAsia="zh-CN"/>
        </w:rPr>
        <w:t>严格落实赤峰市下达的水资源管控指标，强化水资源刚性约束，鼓励非常规水资源利用，推进再生水、雨水等综合利用，全面提升水资源保障能力。实现地表水利用量达到5380万立方米以上，确保地下水开采量不超过24061万立方米，非常规水资源利用量不低于606万立方米。至2025年全旗用水总量不超过30047万立方米，2030年用水总量控制在赤峰市下达指标以内。</w:t>
      </w:r>
    </w:p>
    <w:p w14:paraId="7F806EDC">
      <w:pPr>
        <w:spacing w:line="560" w:lineRule="exact"/>
        <w:ind w:firstLine="557"/>
        <w:jc w:val="both"/>
        <w:rPr>
          <w:rFonts w:ascii="Times New Roman" w:hAnsi="Times New Roman" w:eastAsia="仿宋" w:cs="Times New Roman"/>
          <w:color w:val="auto"/>
          <w:spacing w:val="-5"/>
          <w:sz w:val="28"/>
          <w:szCs w:val="28"/>
          <w:shd w:val="clear" w:color="auto" w:fill="FFFFFF" w:themeFill="background1"/>
          <w:lang w:eastAsia="zh-CN"/>
        </w:rPr>
      </w:pPr>
      <w:r>
        <w:rPr>
          <w:rFonts w:ascii="Times New Roman" w:hAnsi="Times New Roman" w:eastAsia="仿宋" w:cs="Times New Roman"/>
          <w:b/>
          <w:color w:val="auto"/>
          <w:spacing w:val="-5"/>
          <w:sz w:val="28"/>
          <w:szCs w:val="28"/>
          <w:shd w:val="clear" w:color="auto" w:fill="FFFFFF" w:themeFill="background1"/>
          <w:lang w:eastAsia="zh-CN"/>
        </w:rPr>
        <w:t>持续节水型社会建设。</w:t>
      </w:r>
      <w:r>
        <w:rPr>
          <w:rFonts w:ascii="Times New Roman" w:hAnsi="Times New Roman" w:eastAsia="仿宋" w:cs="Times New Roman"/>
          <w:color w:val="auto"/>
          <w:spacing w:val="-5"/>
          <w:sz w:val="28"/>
          <w:szCs w:val="28"/>
          <w:shd w:val="clear" w:color="auto" w:fill="FFFFFF" w:themeFill="background1"/>
          <w:lang w:eastAsia="zh-CN"/>
        </w:rPr>
        <w:t>做好农业节水，落实量水而行，优化调整农业种植结构，加快重点中型灌区配套建设与现代化改造，推广农业节水技术，合理修订灌溉定额，促进农业用水精细化管理，进一步统筹实施节水灌溉工程。推进工业节水，加强工业节水减排，推动高耗水行业节水增效，推进水循环梯级利用，促进工业用水集约高效利用，</w:t>
      </w:r>
      <w:bookmarkStart w:id="278" w:name="OLE_LINK125"/>
      <w:r>
        <w:rPr>
          <w:rFonts w:ascii="Times New Roman" w:hAnsi="Times New Roman" w:eastAsia="仿宋" w:cs="Times New Roman"/>
          <w:color w:val="auto"/>
          <w:spacing w:val="-5"/>
          <w:sz w:val="28"/>
          <w:szCs w:val="28"/>
          <w:shd w:val="clear" w:color="auto" w:fill="FFFFFF" w:themeFill="background1"/>
          <w:lang w:eastAsia="zh-CN"/>
        </w:rPr>
        <w:t>规划期内，保持万元工业增加值用水量</w:t>
      </w:r>
      <w:bookmarkEnd w:id="278"/>
      <w:r>
        <w:rPr>
          <w:rFonts w:ascii="Times New Roman" w:hAnsi="Times New Roman" w:eastAsia="仿宋" w:cs="Times New Roman"/>
          <w:color w:val="auto"/>
          <w:spacing w:val="-5"/>
          <w:sz w:val="28"/>
          <w:szCs w:val="28"/>
          <w:shd w:val="clear" w:color="auto" w:fill="FFFFFF" w:themeFill="background1"/>
          <w:lang w:eastAsia="zh-CN"/>
        </w:rPr>
        <w:t>下降率完成上级下达的年度考核目标。加强生活节水，推进城镇节水降损，做好城镇老旧水厂及配套管网改造和基础设施智能化更新改造，持续建设节水型社会。</w:t>
      </w:r>
    </w:p>
    <w:p w14:paraId="554339E5">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shd w:val="clear" w:color="auto" w:fill="FFFFFF" w:themeFill="background1"/>
          <w:lang w:eastAsia="zh-CN"/>
        </w:rPr>
      </w:pPr>
      <w:bookmarkStart w:id="279" w:name="_Toc183187256"/>
      <w:r>
        <w:rPr>
          <w:rFonts w:ascii="Times New Roman" w:hAnsi="Times New Roman" w:eastAsia="仿宋" w:cs="Times New Roman"/>
          <w:b/>
          <w:bCs/>
          <w:color w:val="auto"/>
          <w:spacing w:val="-2"/>
          <w:sz w:val="28"/>
          <w:szCs w:val="28"/>
          <w:shd w:val="clear" w:color="auto" w:fill="FFFFFF" w:themeFill="background1"/>
          <w:lang w:eastAsia="zh-CN"/>
        </w:rPr>
        <w:t>（二）加强地下水及水源地保护</w:t>
      </w:r>
      <w:bookmarkEnd w:id="279"/>
    </w:p>
    <w:p w14:paraId="61D49063">
      <w:pPr>
        <w:widowControl w:val="0"/>
        <w:kinsoku/>
        <w:autoSpaceDE/>
        <w:autoSpaceDN/>
        <w:spacing w:line="560" w:lineRule="exact"/>
        <w:ind w:firstLine="542" w:firstLineChars="200"/>
        <w:jc w:val="both"/>
        <w:textAlignment w:val="auto"/>
        <w:rPr>
          <w:rFonts w:ascii="Times New Roman" w:hAnsi="Times New Roman" w:eastAsia="仿宋_GB2312" w:cs="Times New Roman"/>
          <w:sz w:val="32"/>
          <w:szCs w:val="32"/>
          <w:shd w:val="clear" w:color="auto" w:fill="FFFFFF" w:themeFill="background1"/>
          <w:lang w:eastAsia="zh-CN"/>
        </w:rPr>
      </w:pPr>
      <w:r>
        <w:rPr>
          <w:rFonts w:ascii="Times New Roman" w:hAnsi="Times New Roman" w:eastAsia="仿宋" w:cs="Times New Roman"/>
          <w:b/>
          <w:color w:val="auto"/>
          <w:spacing w:val="-5"/>
          <w:sz w:val="28"/>
          <w:szCs w:val="28"/>
          <w:shd w:val="clear" w:color="auto" w:fill="FFFFFF" w:themeFill="background1"/>
          <w:lang w:eastAsia="zh-CN"/>
        </w:rPr>
        <w:t>严格控制地下水开采。</w:t>
      </w:r>
      <w:r>
        <w:rPr>
          <w:rFonts w:ascii="Times New Roman" w:hAnsi="Times New Roman" w:eastAsia="仿宋" w:cs="Times New Roman"/>
          <w:color w:val="auto"/>
          <w:spacing w:val="-5"/>
          <w:sz w:val="28"/>
          <w:szCs w:val="28"/>
          <w:shd w:val="clear" w:color="auto" w:fill="FFFFFF" w:themeFill="background1"/>
          <w:lang w:eastAsia="zh-CN"/>
        </w:rPr>
        <w:t>逐步恢复地下水位，确保地下水开采量不超过24061万立方米。将地下水细化分解到5个管理单元进行水量水位管控。加强灌溉机电井管理，强化地下水禁采限采管控，退减不合理用水需求。</w:t>
      </w:r>
    </w:p>
    <w:p w14:paraId="7E396C17">
      <w:pPr>
        <w:widowControl w:val="0"/>
        <w:kinsoku/>
        <w:autoSpaceDE/>
        <w:autoSpaceDN/>
        <w:spacing w:line="560" w:lineRule="exact"/>
        <w:ind w:firstLine="562"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 w:cs="Times New Roman"/>
          <w:b/>
          <w:sz w:val="28"/>
          <w:szCs w:val="28"/>
          <w:lang w:eastAsia="zh-CN"/>
        </w:rPr>
        <w:t>加强水源地保护。</w:t>
      </w:r>
      <w:r>
        <w:rPr>
          <w:rFonts w:ascii="Times New Roman" w:hAnsi="Times New Roman" w:eastAsia="仿宋" w:cs="Times New Roman"/>
          <w:sz w:val="28"/>
          <w:szCs w:val="28"/>
          <w:lang w:eastAsia="zh-CN"/>
        </w:rPr>
        <w:t>严格保护旗、乡镇（苏木）、村（嘎查）各级集中式饮用水水源地。</w:t>
      </w:r>
      <w:r>
        <w:rPr>
          <w:rFonts w:ascii="Times New Roman" w:hAnsi="Times New Roman" w:eastAsia="仿宋" w:cs="Times New Roman"/>
          <w:color w:val="auto"/>
          <w:sz w:val="28"/>
          <w:szCs w:val="28"/>
          <w:lang w:eastAsia="zh-CN"/>
        </w:rPr>
        <w:t>开展城区及各乡镇苏木集中饮用水水源规范化建设，继续完善水源地“一源一档”建设，西部启动实施少郎湖乌丹城区备用水源地工程，强化饮用水源地管理保障饮用水源地安全。</w:t>
      </w:r>
      <w:r>
        <w:rPr>
          <w:rFonts w:ascii="Times New Roman" w:hAnsi="Times New Roman" w:eastAsia="仿宋" w:cs="Times New Roman"/>
          <w:sz w:val="28"/>
          <w:szCs w:val="28"/>
          <w:lang w:eastAsia="zh-CN"/>
        </w:rPr>
        <w:t>禁止从事可能污染水源的活动，禁止新建、扩建与供水设施和保护水源无关的建设项目，禁止从事网箱养殖、旅游、游泳、垂钓或者其他可能污染饮用水水体的活动。</w:t>
      </w:r>
    </w:p>
    <w:p w14:paraId="7F5CE380">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80" w:name="_Toc183187257"/>
      <w:r>
        <w:rPr>
          <w:rFonts w:ascii="Times New Roman" w:hAnsi="Times New Roman" w:eastAsia="仿宋" w:cs="Times New Roman"/>
          <w:b/>
          <w:bCs/>
          <w:color w:val="auto"/>
          <w:spacing w:val="-2"/>
          <w:sz w:val="28"/>
          <w:szCs w:val="28"/>
          <w:lang w:eastAsia="zh-CN"/>
        </w:rPr>
        <w:t>（三）重点改善地表水环境状况</w:t>
      </w:r>
      <w:bookmarkEnd w:id="280"/>
    </w:p>
    <w:p w14:paraId="0D11E758">
      <w:pPr>
        <w:widowControl w:val="0"/>
        <w:kinsoku/>
        <w:spacing w:line="560" w:lineRule="exact"/>
        <w:ind w:firstLine="562" w:firstLineChars="200"/>
        <w:jc w:val="both"/>
        <w:textAlignment w:val="auto"/>
        <w:rPr>
          <w:rFonts w:ascii="Times New Roman" w:hAnsi="Times New Roman" w:eastAsia="仿宋" w:cs="Times New Roman"/>
          <w:sz w:val="28"/>
          <w:szCs w:val="28"/>
          <w:lang w:eastAsia="zh-CN"/>
        </w:rPr>
      </w:pPr>
      <w:bookmarkStart w:id="281" w:name="OLE_LINK5"/>
      <w:bookmarkStart w:id="282" w:name="OLE_LINK67"/>
      <w:r>
        <w:rPr>
          <w:rFonts w:ascii="Times New Roman" w:hAnsi="Times New Roman" w:eastAsia="仿宋" w:cs="Times New Roman"/>
          <w:b/>
          <w:sz w:val="28"/>
          <w:szCs w:val="28"/>
          <w:lang w:eastAsia="zh-CN"/>
        </w:rPr>
        <w:t>加强少冷河、</w:t>
      </w:r>
      <w:bookmarkStart w:id="283" w:name="OLE_LINK187"/>
      <w:r>
        <w:rPr>
          <w:rFonts w:ascii="Times New Roman" w:hAnsi="Times New Roman" w:eastAsia="仿宋" w:cs="Times New Roman"/>
          <w:b/>
          <w:sz w:val="28"/>
          <w:szCs w:val="28"/>
          <w:lang w:eastAsia="zh-CN"/>
        </w:rPr>
        <w:t>西拉沐沦河</w:t>
      </w:r>
      <w:bookmarkEnd w:id="283"/>
      <w:r>
        <w:rPr>
          <w:rFonts w:ascii="Times New Roman" w:hAnsi="Times New Roman" w:eastAsia="仿宋" w:cs="Times New Roman"/>
          <w:b/>
          <w:sz w:val="28"/>
          <w:szCs w:val="28"/>
          <w:lang w:eastAsia="zh-CN"/>
        </w:rPr>
        <w:t>流域生态保护</w:t>
      </w:r>
      <w:r>
        <w:rPr>
          <w:rFonts w:ascii="Times New Roman" w:hAnsi="Times New Roman" w:eastAsia="仿宋" w:cs="Times New Roman"/>
          <w:sz w:val="28"/>
          <w:szCs w:val="28"/>
          <w:lang w:eastAsia="zh-CN"/>
        </w:rPr>
        <w:t>。持续推进河湖长制，提高流域治理能力，保持西拉沐沦河海日苏断面</w:t>
      </w:r>
      <w:bookmarkStart w:id="284" w:name="OLE_LINK188"/>
      <w:r>
        <w:rPr>
          <w:rFonts w:ascii="Times New Roman" w:hAnsi="Times New Roman" w:eastAsia="仿宋" w:cs="Times New Roman"/>
          <w:sz w:val="28"/>
          <w:szCs w:val="28"/>
          <w:lang w:eastAsia="zh-CN"/>
        </w:rPr>
        <w:t>和少冷河的少冷河入西拉木伦河河口断面水质达到Ⅲ类</w:t>
      </w:r>
      <w:bookmarkEnd w:id="284"/>
      <w:r>
        <w:rPr>
          <w:rFonts w:ascii="Times New Roman" w:hAnsi="Times New Roman" w:eastAsia="仿宋" w:cs="Times New Roman"/>
          <w:sz w:val="28"/>
          <w:szCs w:val="28"/>
          <w:lang w:eastAsia="zh-CN"/>
        </w:rPr>
        <w:t>，优良（达到或优于Ⅲ类）比例达到100%。 到2025年，</w:t>
      </w:r>
      <w:bookmarkStart w:id="285" w:name="OLE_LINK189"/>
      <w:bookmarkStart w:id="286" w:name="OLE_LINK190"/>
      <w:r>
        <w:rPr>
          <w:rFonts w:ascii="Times New Roman" w:hAnsi="Times New Roman" w:eastAsia="仿宋" w:cs="Times New Roman"/>
          <w:sz w:val="28"/>
          <w:szCs w:val="28"/>
          <w:lang w:eastAsia="zh-CN"/>
        </w:rPr>
        <w:t>西拉沐沦河海日苏以下（大兴北断面汇水范围）恢复有水河长50 公里，9月-10 月间恢复有水时长30 天。水生态系统功能明显提升，水生态系统稳定性显著增强，水生生物完整性指数提升至整体健康。</w:t>
      </w:r>
    </w:p>
    <w:bookmarkEnd w:id="285"/>
    <w:bookmarkEnd w:id="286"/>
    <w:p w14:paraId="7542DD91">
      <w:pPr>
        <w:widowControl w:val="0"/>
        <w:kinsoku/>
        <w:autoSpaceDE/>
        <w:autoSpaceDN/>
        <w:adjustRightInd/>
        <w:snapToGrid/>
        <w:spacing w:line="560" w:lineRule="exact"/>
        <w:ind w:firstLine="562" w:firstLineChars="200"/>
        <w:jc w:val="both"/>
        <w:textAlignment w:val="auto"/>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构建水安全格局，强化水生态治理。</w:t>
      </w:r>
      <w:r>
        <w:rPr>
          <w:rFonts w:ascii="Times New Roman" w:hAnsi="Times New Roman" w:eastAsia="仿宋" w:cs="Times New Roman"/>
          <w:sz w:val="28"/>
          <w:szCs w:val="28"/>
          <w:lang w:eastAsia="zh-CN"/>
        </w:rPr>
        <w:t>落实水资源分区管控，严守水功能区限制纳污红线；开展河道清淤及“四乱”整治，保障入河水质达标；严控工业污水违法排放，全面实行排污许可制，加强黑臭水体防控，恢复水体自净能力。活化河道水生态系统，打造水清岸绿的滨水生态带，重点推进少郎河、苇塘河、五分地河、四道杖房河、羊肠子河、老哈河等主要河流生态修复治理，加强沿岸防护林体系建设。强化水生态保护修复，实施海日苏水利枢纽至额吉湖引水续建配套工程、龙源湖小型水源地建设项目、杖房河下泡子至布日敦引水工程、布日敦湖至少郎河城区段河湖连通等重点工程，逐步恢复河湖生态功能。</w:t>
      </w:r>
    </w:p>
    <w:p w14:paraId="534FE183">
      <w:pPr>
        <w:widowControl w:val="0"/>
        <w:kinsoku/>
        <w:snapToGrid/>
        <w:spacing w:line="560" w:lineRule="exact"/>
        <w:ind w:firstLine="562" w:firstLineChars="200"/>
        <w:jc w:val="both"/>
        <w:textAlignment w:val="auto"/>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严格</w:t>
      </w:r>
      <w:bookmarkStart w:id="287" w:name="OLE_LINK194"/>
      <w:bookmarkStart w:id="288" w:name="OLE_LINK195"/>
      <w:r>
        <w:rPr>
          <w:rFonts w:ascii="Times New Roman" w:hAnsi="Times New Roman" w:eastAsia="仿宋" w:cs="Times New Roman"/>
          <w:b/>
          <w:sz w:val="28"/>
          <w:szCs w:val="28"/>
          <w:lang w:eastAsia="zh-CN"/>
        </w:rPr>
        <w:t>入河排污口</w:t>
      </w:r>
      <w:bookmarkEnd w:id="287"/>
      <w:bookmarkEnd w:id="288"/>
      <w:r>
        <w:rPr>
          <w:rFonts w:ascii="Times New Roman" w:hAnsi="Times New Roman" w:eastAsia="仿宋" w:cs="Times New Roman"/>
          <w:b/>
          <w:sz w:val="28"/>
          <w:szCs w:val="28"/>
          <w:lang w:eastAsia="zh-CN"/>
        </w:rPr>
        <w:t>设置，规范日常监管。</w:t>
      </w:r>
      <w:r>
        <w:rPr>
          <w:rFonts w:ascii="Times New Roman" w:hAnsi="Times New Roman" w:eastAsia="仿宋" w:cs="Times New Roman"/>
          <w:sz w:val="28"/>
          <w:szCs w:val="28"/>
          <w:lang w:eastAsia="zh-CN"/>
        </w:rPr>
        <w:t xml:space="preserve">全面完成广德公镇污水处理工程、解放营子污水处理工程、桥头镇污水处理工程等入河排污口审批。严禁污水直接入河，保障入河水质，加强系统防控，积极探索水环境治理新模式，恢复水体自净能力。依据河长制及各部门专项检查加强种植业及畜禽养殖污染的监控巡查，严禁生活垃圾、畜禽粪污、病死畜禽排入河渠，严禁在河岸两侧倾倒垃圾或堆积杂物。。完善入河排污口整治及规范化建设，已合法设置的排污口应保证所排放水质、水量满足水生态环境管理相关要求，对排查确定和新增排污口按照“一口一策、一口一档、一口一标识”的要求严格管理，形成规范化信息台账。 </w:t>
      </w:r>
    </w:p>
    <w:bookmarkEnd w:id="281"/>
    <w:bookmarkEnd w:id="282"/>
    <w:p w14:paraId="0399F443">
      <w:pPr>
        <w:widowControl w:val="0"/>
        <w:kinsoku/>
        <w:autoSpaceDE/>
        <w:autoSpaceDN/>
        <w:spacing w:line="560" w:lineRule="exact"/>
        <w:ind w:firstLine="562" w:firstLineChars="200"/>
        <w:jc w:val="both"/>
        <w:textAlignment w:val="auto"/>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开展湿地资源总量控制，强化保护利用管制。</w:t>
      </w:r>
      <w:bookmarkStart w:id="289" w:name="OLE_LINK207"/>
      <w:bookmarkStart w:id="290" w:name="OLE_LINK210"/>
      <w:r>
        <w:rPr>
          <w:rFonts w:ascii="Times New Roman" w:hAnsi="Times New Roman" w:eastAsia="仿宋" w:cs="Times New Roman"/>
          <w:sz w:val="28"/>
          <w:szCs w:val="28"/>
          <w:lang w:eastAsia="zh-CN"/>
        </w:rPr>
        <w:t>实行湿地分级管理要求，设立重要湿地和一般湿地名录。严格落实湿地面积总量管控制度、湿地占补平衡制度、湿地负面清单管理制度，推进西拉沐沦河、老哈河、羊肠子河、布日敦湖等湿地生态保护和修复，维持</w:t>
      </w:r>
      <w:bookmarkStart w:id="291" w:name="OLE_LINK83"/>
      <w:bookmarkStart w:id="292" w:name="OLE_LINK84"/>
      <w:r>
        <w:rPr>
          <w:rFonts w:ascii="Times New Roman" w:hAnsi="Times New Roman" w:eastAsia="仿宋" w:cs="Times New Roman"/>
          <w:sz w:val="28"/>
          <w:szCs w:val="28"/>
          <w:lang w:eastAsia="zh-CN"/>
        </w:rPr>
        <w:t>湿地面积和生态功能稳定，严格限制占用重要湿地。鼓励对功能退化的自然湿地进行修复和综合整治，提升湿地碳汇功能。</w:t>
      </w:r>
      <w:r>
        <w:rPr>
          <w:rFonts w:ascii="Times New Roman" w:hAnsi="Times New Roman" w:eastAsia="仿宋" w:cs="Times New Roman"/>
          <w:color w:val="auto"/>
          <w:spacing w:val="-5"/>
          <w:sz w:val="28"/>
          <w:szCs w:val="28"/>
          <w:lang w:eastAsia="zh-CN"/>
        </w:rPr>
        <w:t>开展老哈河生态带及西拉木伦翁牛特旗段湿地公园标准建设，完善公园服务设施及基础设施建设，提高公园整体建设水平和示范作用。在老哈河生态带及西拉木伦翁牛特旗段湿地公园为主的重点湿地分布区内，开展湿地补水、水生植被恢复、水位调控、富营养化治理等建设；开展湿地科研监测及科普宣教体系建设，提高公园整体建设水平和示范作用。对现有湖泊湿地开展摸底调查，进行全面保护。抓好少郎河流域湿地生态系统修复、海拉苏水利枢纽至额吉湖引水续建配套改造等工程，全面提升河流源头湿地保护水平和水源涵养地生态功能，实现河湖流域水质改善和生态功能提升。</w:t>
      </w:r>
      <w:bookmarkEnd w:id="289"/>
      <w:bookmarkEnd w:id="290"/>
      <w:r>
        <w:rPr>
          <w:rFonts w:ascii="Times New Roman" w:hAnsi="Times New Roman" w:eastAsia="仿宋" w:cs="Times New Roman"/>
          <w:sz w:val="28"/>
          <w:szCs w:val="28"/>
          <w:lang w:eastAsia="zh-CN"/>
        </w:rPr>
        <w:t>到2025年，全旗湿地保护率不低于25.80%。</w:t>
      </w:r>
    </w:p>
    <w:p w14:paraId="076C3D03">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293" w:name="_Toc183187258"/>
      <w:r>
        <w:rPr>
          <w:rFonts w:ascii="Times New Roman" w:hAnsi="Times New Roman" w:eastAsia="仿宋" w:cs="Times New Roman"/>
          <w:b/>
          <w:bCs/>
          <w:color w:val="auto"/>
          <w:spacing w:val="-2"/>
          <w:sz w:val="28"/>
          <w:szCs w:val="28"/>
          <w:lang w:eastAsia="zh-CN"/>
        </w:rPr>
        <w:t>（四）推进“</w:t>
      </w:r>
      <w:bookmarkEnd w:id="291"/>
      <w:bookmarkEnd w:id="292"/>
      <w:r>
        <w:rPr>
          <w:rFonts w:ascii="Times New Roman" w:hAnsi="Times New Roman" w:eastAsia="仿宋" w:cs="Times New Roman"/>
          <w:b/>
          <w:bCs/>
          <w:color w:val="auto"/>
          <w:spacing w:val="-2"/>
          <w:sz w:val="28"/>
          <w:szCs w:val="28"/>
          <w:lang w:eastAsia="zh-CN"/>
        </w:rPr>
        <w:t>多源”水污染治理</w:t>
      </w:r>
      <w:bookmarkEnd w:id="293"/>
    </w:p>
    <w:p w14:paraId="337E2824">
      <w:pPr>
        <w:pStyle w:val="8"/>
        <w:spacing w:line="560" w:lineRule="exact"/>
        <w:ind w:firstLine="562"/>
        <w:rPr>
          <w:rStyle w:val="37"/>
          <w:rFonts w:ascii="Times New Roman" w:hAnsi="Times New Roman" w:eastAsia="仿宋" w:cs="Times New Roman"/>
          <w:sz w:val="28"/>
          <w:szCs w:val="28"/>
          <w:lang w:eastAsia="zh-CN"/>
        </w:rPr>
      </w:pPr>
      <w:r>
        <w:rPr>
          <w:rFonts w:ascii="Times New Roman" w:hAnsi="Times New Roman" w:eastAsia="仿宋" w:cs="Times New Roman"/>
          <w:b/>
          <w:color w:val="auto"/>
          <w:sz w:val="28"/>
          <w:szCs w:val="28"/>
          <w:lang w:eastAsia="zh-CN"/>
        </w:rPr>
        <w:t>加强生活污水处理力度</w:t>
      </w:r>
      <w:r>
        <w:rPr>
          <w:rFonts w:ascii="Times New Roman" w:hAnsi="Times New Roman" w:eastAsia="仿宋" w:cs="Times New Roman"/>
          <w:color w:val="auto"/>
          <w:sz w:val="28"/>
          <w:szCs w:val="28"/>
          <w:lang w:eastAsia="zh-CN"/>
        </w:rPr>
        <w:t>。</w:t>
      </w:r>
      <w:bookmarkStart w:id="294" w:name="OLE_LINK234"/>
      <w:bookmarkStart w:id="295" w:name="OLE_LINK235"/>
      <w:r>
        <w:rPr>
          <w:rStyle w:val="37"/>
          <w:rFonts w:ascii="Times New Roman" w:hAnsi="Times New Roman" w:eastAsia="仿宋" w:cs="Times New Roman"/>
          <w:color w:val="auto"/>
          <w:sz w:val="28"/>
          <w:szCs w:val="28"/>
          <w:lang w:eastAsia="zh-CN"/>
        </w:rPr>
        <w:t>加强城乡污水处理设施建设与改造，乌丹城区及产业园区</w:t>
      </w:r>
      <w:bookmarkStart w:id="296" w:name="OLE_LINK236"/>
      <w:bookmarkStart w:id="297" w:name="OLE_LINK237"/>
      <w:r>
        <w:rPr>
          <w:rStyle w:val="37"/>
          <w:rFonts w:ascii="Times New Roman" w:hAnsi="Times New Roman" w:eastAsia="仿宋" w:cs="Times New Roman"/>
          <w:color w:val="auto"/>
          <w:sz w:val="28"/>
          <w:szCs w:val="28"/>
          <w:lang w:eastAsia="zh-CN"/>
        </w:rPr>
        <w:t>、重点镇政府所在地集中设置污水处</w:t>
      </w:r>
      <w:bookmarkEnd w:id="296"/>
      <w:bookmarkEnd w:id="297"/>
      <w:r>
        <w:rPr>
          <w:rStyle w:val="37"/>
          <w:rFonts w:ascii="Times New Roman" w:hAnsi="Times New Roman" w:eastAsia="仿宋" w:cs="Times New Roman"/>
          <w:color w:val="auto"/>
          <w:sz w:val="28"/>
          <w:szCs w:val="28"/>
          <w:lang w:eastAsia="zh-CN"/>
        </w:rPr>
        <w:t>理厂；其他乡镇苏木遵循“以集中式为主，分布式为辅”的污水处理模式，镇区以集中处理为主，镇区外以分散处理为主。</w:t>
      </w:r>
      <w:bookmarkEnd w:id="294"/>
      <w:bookmarkEnd w:id="295"/>
      <w:r>
        <w:rPr>
          <w:rStyle w:val="37"/>
          <w:rFonts w:ascii="Times New Roman" w:hAnsi="Times New Roman" w:eastAsia="仿宋" w:cs="Times New Roman"/>
          <w:color w:val="auto"/>
          <w:sz w:val="28"/>
          <w:szCs w:val="28"/>
          <w:lang w:eastAsia="zh-CN"/>
        </w:rPr>
        <w:t>全面开展城镇排水管网排查改造，加快乌丹城区改造老旧管网及不合格管网，全面提高管网系统性，实现污水管网全覆盖、污水全收集、全处理，</w:t>
      </w:r>
      <w:r>
        <w:rPr>
          <w:rFonts w:ascii="Times New Roman" w:hAnsi="Times New Roman" w:eastAsia="仿宋" w:cs="Times New Roman"/>
          <w:color w:val="auto"/>
          <w:sz w:val="28"/>
          <w:szCs w:val="28"/>
          <w:lang w:eastAsia="zh-CN"/>
        </w:rPr>
        <w:t>实施乌丹城区管网更新改造、排水防涝调蓄、雨污分流、雨洪综合利用、雨水吸纳净化等工程，提升乌丹雨污分流、再生水利用、污水处理等水</w:t>
      </w:r>
      <w:bookmarkStart w:id="298" w:name="OLE_LINK244"/>
      <w:bookmarkStart w:id="299" w:name="OLE_LINK245"/>
      <w:r>
        <w:rPr>
          <w:rFonts w:ascii="Times New Roman" w:hAnsi="Times New Roman" w:eastAsia="仿宋" w:cs="Times New Roman"/>
          <w:color w:val="auto"/>
          <w:sz w:val="28"/>
          <w:szCs w:val="28"/>
          <w:lang w:eastAsia="zh-CN"/>
        </w:rPr>
        <w:t>平</w:t>
      </w:r>
      <w:r>
        <w:rPr>
          <w:rStyle w:val="37"/>
          <w:rFonts w:ascii="Times New Roman" w:hAnsi="Times New Roman" w:eastAsia="仿宋" w:cs="Times New Roman"/>
          <w:color w:val="auto"/>
          <w:sz w:val="28"/>
          <w:szCs w:val="28"/>
          <w:lang w:eastAsia="zh-CN"/>
        </w:rPr>
        <w:t>；加强各</w:t>
      </w:r>
      <w:bookmarkEnd w:id="298"/>
      <w:bookmarkEnd w:id="299"/>
      <w:r>
        <w:rPr>
          <w:rStyle w:val="37"/>
          <w:rFonts w:ascii="Times New Roman" w:hAnsi="Times New Roman" w:eastAsia="仿宋" w:cs="Times New Roman"/>
          <w:color w:val="auto"/>
          <w:sz w:val="28"/>
          <w:szCs w:val="28"/>
          <w:lang w:eastAsia="zh-CN"/>
        </w:rPr>
        <w:t>乡镇（苏木）污水管网建设力度，补齐管网建设空白区。</w:t>
      </w:r>
      <w:bookmarkStart w:id="300" w:name="OLE_LINK246"/>
      <w:r>
        <w:rPr>
          <w:rFonts w:ascii="Times New Roman" w:hAnsi="Times New Roman" w:eastAsia="仿宋" w:cs="Times New Roman"/>
          <w:color w:val="auto"/>
          <w:sz w:val="28"/>
          <w:szCs w:val="28"/>
          <w:lang w:eastAsia="zh-CN"/>
        </w:rPr>
        <w:t xml:space="preserve"> 到202</w:t>
      </w:r>
      <w:bookmarkStart w:id="301" w:name="OLE_LINK240"/>
      <w:bookmarkStart w:id="302" w:name="OLE_LINK241"/>
      <w:r>
        <w:rPr>
          <w:rFonts w:ascii="Times New Roman" w:hAnsi="Times New Roman" w:eastAsia="仿宋" w:cs="Times New Roman"/>
          <w:color w:val="auto"/>
          <w:sz w:val="28"/>
          <w:szCs w:val="28"/>
          <w:lang w:eastAsia="zh-CN"/>
        </w:rPr>
        <w:t>5年，</w:t>
      </w:r>
      <w:r>
        <w:rPr>
          <w:rFonts w:ascii="Times New Roman" w:hAnsi="Times New Roman" w:eastAsia="仿宋" w:cs="Times New Roman"/>
          <w:sz w:val="28"/>
          <w:szCs w:val="28"/>
          <w:lang w:eastAsia="zh-CN"/>
        </w:rPr>
        <w:t>保证乌丹城区污水</w:t>
      </w:r>
      <w:bookmarkEnd w:id="300"/>
      <w:r>
        <w:rPr>
          <w:rStyle w:val="37"/>
          <w:rFonts w:ascii="Times New Roman" w:hAnsi="Times New Roman" w:eastAsia="仿宋" w:cs="Times New Roman"/>
          <w:color w:val="auto"/>
          <w:sz w:val="28"/>
          <w:szCs w:val="28"/>
          <w:lang w:eastAsia="zh-CN"/>
        </w:rPr>
        <w:t>处理率</w:t>
      </w:r>
      <w:bookmarkEnd w:id="301"/>
      <w:bookmarkEnd w:id="302"/>
      <w:r>
        <w:rPr>
          <w:rStyle w:val="37"/>
          <w:rFonts w:ascii="Times New Roman" w:hAnsi="Times New Roman" w:eastAsia="仿宋" w:cs="Times New Roman"/>
          <w:color w:val="auto"/>
          <w:sz w:val="28"/>
          <w:szCs w:val="28"/>
          <w:lang w:eastAsia="zh-CN"/>
        </w:rPr>
        <w:t>保持在95%以上，全旗范</w:t>
      </w:r>
      <w:r>
        <w:rPr>
          <w:rFonts w:ascii="Times New Roman" w:hAnsi="Times New Roman" w:eastAsia="仿宋" w:cs="Times New Roman"/>
          <w:sz w:val="28"/>
          <w:szCs w:val="28"/>
          <w:lang w:eastAsia="zh-CN"/>
        </w:rPr>
        <w:t>围内</w:t>
      </w:r>
      <w:r>
        <w:rPr>
          <w:rFonts w:ascii="Times New Roman" w:hAnsi="Times New Roman" w:eastAsia="仿宋" w:cs="Times New Roman"/>
          <w:color w:val="auto"/>
          <w:sz w:val="28"/>
          <w:szCs w:val="28"/>
          <w:lang w:eastAsia="zh-CN"/>
        </w:rPr>
        <w:t>农村无黑臭水体</w:t>
      </w:r>
      <w:r>
        <w:rPr>
          <w:rFonts w:ascii="Times New Roman" w:hAnsi="Times New Roman" w:eastAsia="仿宋" w:cs="Times New Roman"/>
          <w:sz w:val="28"/>
          <w:szCs w:val="28"/>
          <w:lang w:eastAsia="zh-CN"/>
        </w:rPr>
        <w:t>。</w:t>
      </w:r>
    </w:p>
    <w:p w14:paraId="09D6C798">
      <w:pPr>
        <w:spacing w:line="560" w:lineRule="exact"/>
        <w:ind w:firstLine="562" w:firstLineChars="200"/>
        <w:jc w:val="both"/>
        <w:rPr>
          <w:rFonts w:ascii="Times New Roman" w:hAnsi="Times New Roman" w:eastAsia="仿宋" w:cs="Times New Roman"/>
          <w:color w:val="auto"/>
          <w:sz w:val="28"/>
          <w:szCs w:val="28"/>
          <w:lang w:eastAsia="zh-CN"/>
        </w:rPr>
      </w:pPr>
      <w:bookmarkStart w:id="303" w:name="OLE_LINK85"/>
      <w:r>
        <w:rPr>
          <w:rFonts w:ascii="Times New Roman" w:hAnsi="Times New Roman" w:eastAsia="仿宋" w:cs="Times New Roman"/>
          <w:b/>
          <w:sz w:val="28"/>
          <w:szCs w:val="28"/>
          <w:lang w:eastAsia="zh-CN"/>
        </w:rPr>
        <w:t>加强农牧业污染防治。</w:t>
      </w:r>
      <w:r>
        <w:rPr>
          <w:rFonts w:ascii="Times New Roman" w:hAnsi="Times New Roman" w:eastAsia="仿宋" w:cs="Times New Roman"/>
          <w:sz w:val="28"/>
          <w:szCs w:val="28"/>
          <w:lang w:eastAsia="zh-CN"/>
        </w:rPr>
        <w:t>全面开展</w:t>
      </w:r>
      <w:bookmarkStart w:id="304" w:name="OLE_LINK253"/>
      <w:bookmarkStart w:id="305" w:name="OLE_LINK254"/>
      <w:r>
        <w:rPr>
          <w:rFonts w:ascii="Times New Roman" w:hAnsi="Times New Roman" w:eastAsia="仿宋" w:cs="Times New Roman"/>
          <w:sz w:val="28"/>
          <w:szCs w:val="28"/>
          <w:lang w:eastAsia="zh-CN"/>
        </w:rPr>
        <w:t>控肥增效</w:t>
      </w:r>
      <w:bookmarkEnd w:id="304"/>
      <w:bookmarkEnd w:id="305"/>
      <w:r>
        <w:rPr>
          <w:rFonts w:ascii="Times New Roman" w:hAnsi="Times New Roman" w:eastAsia="仿宋" w:cs="Times New Roman"/>
          <w:sz w:val="28"/>
          <w:szCs w:val="28"/>
          <w:lang w:eastAsia="zh-CN"/>
        </w:rPr>
        <w:t>、控药减害、控水降耗、控膜提效“</w:t>
      </w:r>
      <w:bookmarkStart w:id="306" w:name="OLE_LINK230"/>
      <w:bookmarkStart w:id="307" w:name="OLE_LINK231"/>
      <w:r>
        <w:rPr>
          <w:rFonts w:ascii="Times New Roman" w:hAnsi="Times New Roman" w:eastAsia="仿宋" w:cs="Times New Roman"/>
          <w:sz w:val="28"/>
          <w:szCs w:val="28"/>
          <w:lang w:eastAsia="zh-CN"/>
        </w:rPr>
        <w:t>四控行动</w:t>
      </w:r>
      <w:bookmarkEnd w:id="306"/>
      <w:bookmarkEnd w:id="307"/>
      <w:r>
        <w:rPr>
          <w:rFonts w:ascii="Times New Roman" w:hAnsi="Times New Roman" w:eastAsia="仿宋" w:cs="Times New Roman"/>
          <w:sz w:val="28"/>
          <w:szCs w:val="28"/>
          <w:lang w:eastAsia="zh-CN"/>
        </w:rPr>
        <w:t>”，实现</w:t>
      </w:r>
      <w:bookmarkStart w:id="308" w:name="OLE_LINK265"/>
      <w:bookmarkStart w:id="309" w:name="OLE_LINK266"/>
      <w:r>
        <w:rPr>
          <w:rFonts w:ascii="Times New Roman" w:hAnsi="Times New Roman" w:eastAsia="仿宋" w:cs="Times New Roman"/>
          <w:sz w:val="28"/>
          <w:szCs w:val="28"/>
          <w:lang w:eastAsia="zh-CN"/>
        </w:rPr>
        <w:t>农药</w:t>
      </w:r>
      <w:bookmarkEnd w:id="308"/>
      <w:bookmarkEnd w:id="309"/>
      <w:r>
        <w:rPr>
          <w:rFonts w:ascii="Times New Roman" w:hAnsi="Times New Roman" w:eastAsia="仿宋" w:cs="Times New Roman"/>
          <w:sz w:val="28"/>
          <w:szCs w:val="28"/>
          <w:lang w:eastAsia="zh-CN"/>
        </w:rPr>
        <w:t>、化肥、农膜投入量“负增长”。推进农牧业清</w:t>
      </w:r>
      <w:bookmarkEnd w:id="303"/>
      <w:r>
        <w:rPr>
          <w:rFonts w:ascii="Times New Roman" w:hAnsi="Times New Roman" w:eastAsia="仿宋" w:cs="Times New Roman"/>
          <w:sz w:val="28"/>
          <w:szCs w:val="28"/>
          <w:lang w:eastAsia="zh-CN"/>
        </w:rPr>
        <w:t>洁生产，加强农作物秸秆、废</w:t>
      </w:r>
      <w:r>
        <w:rPr>
          <w:rFonts w:ascii="Times New Roman" w:hAnsi="Times New Roman" w:eastAsia="仿宋" w:cs="Times New Roman"/>
          <w:color w:val="auto"/>
          <w:sz w:val="28"/>
          <w:szCs w:val="28"/>
          <w:lang w:eastAsia="zh-CN"/>
        </w:rPr>
        <w:t>旧农膜等农牧业废弃物资源化利用，普及推广生物降解膜项目。持续实施畜禽粪资源化利用整县推进项目，及时更新畜禽养殖禁养区划定，依法关闭或搬迁禁养区内的畜禽养殖场（小区）和养殖专业户，</w:t>
      </w:r>
      <w:bookmarkStart w:id="310" w:name="OLE_LINK267"/>
      <w:bookmarkStart w:id="311" w:name="OLE_LINK268"/>
      <w:r>
        <w:rPr>
          <w:rFonts w:ascii="Times New Roman" w:hAnsi="Times New Roman" w:eastAsia="仿宋" w:cs="Times New Roman"/>
          <w:color w:val="auto"/>
          <w:sz w:val="28"/>
          <w:szCs w:val="28"/>
          <w:lang w:eastAsia="zh-CN"/>
        </w:rPr>
        <w:t>对现有规模化畜禽养殖场（小区）配套建设粪便污水贮存、处理、利用设施。散养密集区要实行畜禽粪便污水分户收集、集中处理利用。</w:t>
      </w:r>
      <w:bookmarkEnd w:id="310"/>
      <w:bookmarkEnd w:id="311"/>
      <w:r>
        <w:rPr>
          <w:rFonts w:ascii="Times New Roman" w:hAnsi="Times New Roman" w:eastAsia="仿宋" w:cs="Times New Roman"/>
          <w:color w:val="auto"/>
          <w:sz w:val="28"/>
          <w:szCs w:val="28"/>
          <w:lang w:eastAsia="zh-CN"/>
        </w:rPr>
        <w:t>采取农业灌溉系统改造、生态拦截沟建设等措施，减少农田退水污染负荷。推广“为养而种、种养结合”等生态循环发展模式，减少畜禽养殖污染。到2025年，秸秆综合利用率达到100%，废旧农膜回收率保持在85％以上，规模以下畜禽粪污集中收运利用体系逐步完善。</w:t>
      </w:r>
    </w:p>
    <w:p w14:paraId="3C192FE5">
      <w:pPr>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加强工业源污水治理。</w:t>
      </w:r>
      <w:r>
        <w:rPr>
          <w:rFonts w:ascii="Times New Roman" w:hAnsi="Times New Roman" w:eastAsia="仿宋" w:cs="Times New Roman"/>
          <w:color w:val="auto"/>
          <w:sz w:val="28"/>
          <w:szCs w:val="28"/>
          <w:lang w:eastAsia="zh-CN"/>
        </w:rPr>
        <w:t>加推推进玉龙工业园区污水处理厂的建设进度，后续保证期正常运行，以全面提高园区的污水处理率。严格执行排污许可证制度。</w:t>
      </w:r>
      <w:r>
        <w:rPr>
          <w:rFonts w:ascii="Times New Roman" w:hAnsi="Times New Roman" w:eastAsia="仿宋" w:cs="Times New Roman"/>
          <w:sz w:val="28"/>
          <w:szCs w:val="28"/>
          <w:lang w:eastAsia="zh-CN"/>
        </w:rPr>
        <w:t>以矿山企业、冶炼企业、屠宰企业、化工企业等工业企业为重点，对污水处理设施进行定期排查，对污水处理设施落后的督促进行提标改造，进一步提高工业废水重复利用率。深化工业园区污水设施建设。开展工业集聚区（工业企业）和老旧小区中水回用管网改造。</w:t>
      </w:r>
    </w:p>
    <w:p w14:paraId="4575C823">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12" w:name="_Toc183187259"/>
      <w:bookmarkStart w:id="313" w:name="OLE_LINK73"/>
      <w:bookmarkStart w:id="314" w:name="OLE_LINK81"/>
      <w:r>
        <w:rPr>
          <w:rFonts w:ascii="Times New Roman" w:hAnsi="Times New Roman" w:eastAsia="仿宋" w:cs="Times New Roman"/>
          <w:b/>
          <w:bCs/>
          <w:color w:val="auto"/>
          <w:spacing w:val="-2"/>
          <w:sz w:val="28"/>
          <w:szCs w:val="28"/>
          <w:lang w:eastAsia="zh-CN"/>
        </w:rPr>
        <w:t>（五）突出抓好水土保持</w:t>
      </w:r>
      <w:bookmarkEnd w:id="312"/>
    </w:p>
    <w:p w14:paraId="528BBD8E">
      <w:pPr>
        <w:widowControl w:val="0"/>
        <w:spacing w:line="560" w:lineRule="exact"/>
        <w:ind w:firstLine="559"/>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按照适地、适树、适草和水资源承载能力适宜的原则，加大水土保持植物措施力度，开展沙地水土保持综合治理。实施以小流域为单元的水土流失综合整治，持续加强河湖水域监管保护及重点流域综合治理，加快推进少郎河、羊肠子河、西拉沐沦河、老哈河等流域生态综合治理工程，提高流域水环境承载力。扎实推进西拉沐沦河防洪治理、中型水闸除险加固、京津</w:t>
      </w:r>
      <w:bookmarkEnd w:id="313"/>
      <w:bookmarkEnd w:id="314"/>
      <w:r>
        <w:rPr>
          <w:rFonts w:ascii="Times New Roman" w:hAnsi="Times New Roman" w:eastAsia="仿宋" w:cs="Times New Roman"/>
          <w:color w:val="auto"/>
          <w:spacing w:val="-5"/>
          <w:sz w:val="28"/>
          <w:szCs w:val="28"/>
          <w:lang w:eastAsia="zh-CN"/>
        </w:rPr>
        <w:t>风沙源水土保持、</w:t>
      </w:r>
      <w:bookmarkStart w:id="315" w:name="OLE_LINK82"/>
      <w:r>
        <w:rPr>
          <w:rFonts w:ascii="Times New Roman" w:hAnsi="Times New Roman" w:eastAsia="仿宋" w:cs="Times New Roman"/>
          <w:color w:val="auto"/>
          <w:spacing w:val="-5"/>
          <w:sz w:val="28"/>
          <w:szCs w:val="28"/>
          <w:lang w:eastAsia="zh-CN"/>
        </w:rPr>
        <w:t>生态清洁小流域治理</w:t>
      </w:r>
      <w:bookmarkEnd w:id="315"/>
      <w:r>
        <w:rPr>
          <w:rFonts w:ascii="Times New Roman" w:hAnsi="Times New Roman" w:eastAsia="仿宋" w:cs="Times New Roman"/>
          <w:color w:val="auto"/>
          <w:spacing w:val="-5"/>
          <w:sz w:val="28"/>
          <w:szCs w:val="28"/>
          <w:lang w:eastAsia="zh-CN"/>
        </w:rPr>
        <w:t>、坡改梯等工程，增强流域水土保持和水源涵养功能。</w:t>
      </w:r>
      <w:bookmarkEnd w:id="276"/>
      <w:bookmarkEnd w:id="277"/>
    </w:p>
    <w:p w14:paraId="0FB3D5E2">
      <w:pPr>
        <w:pStyle w:val="3"/>
        <w:rPr>
          <w:rFonts w:ascii="Times New Roman" w:hAnsi="Times New Roman" w:cs="Times New Roman"/>
          <w:color w:val="auto"/>
          <w:lang w:eastAsia="zh-CN"/>
        </w:rPr>
      </w:pPr>
      <w:bookmarkStart w:id="316" w:name="bookmark54"/>
      <w:bookmarkEnd w:id="316"/>
      <w:bookmarkStart w:id="317" w:name="bookmark53"/>
      <w:bookmarkEnd w:id="317"/>
      <w:bookmarkStart w:id="318" w:name="_Toc183187260"/>
      <w:r>
        <w:rPr>
          <w:rFonts w:ascii="Times New Roman" w:hAnsi="Times New Roman" w:cs="Times New Roman"/>
          <w:color w:val="auto"/>
          <w:lang w:eastAsia="zh-CN"/>
        </w:rPr>
        <w:t>二、改善大气环境质量</w:t>
      </w:r>
      <w:bookmarkEnd w:id="318"/>
    </w:p>
    <w:p w14:paraId="0120F368">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19" w:name="_Toc183187261"/>
      <w:bookmarkStart w:id="320" w:name="OLE_LINK417"/>
      <w:bookmarkStart w:id="321" w:name="OLE_LINK418"/>
      <w:r>
        <w:rPr>
          <w:rFonts w:ascii="Times New Roman" w:hAnsi="Times New Roman" w:eastAsia="仿宋" w:cs="Times New Roman"/>
          <w:b/>
          <w:bCs/>
          <w:color w:val="auto"/>
          <w:spacing w:val="-2"/>
          <w:sz w:val="28"/>
          <w:szCs w:val="28"/>
          <w:lang w:eastAsia="zh-CN"/>
        </w:rPr>
        <w:t>（</w:t>
      </w:r>
      <w:bookmarkStart w:id="322" w:name="OLE_LINK415"/>
      <w:bookmarkStart w:id="323" w:name="OLE_LINK416"/>
      <w:r>
        <w:rPr>
          <w:rFonts w:ascii="Times New Roman" w:hAnsi="Times New Roman" w:eastAsia="仿宋" w:cs="Times New Roman"/>
          <w:b/>
          <w:bCs/>
          <w:color w:val="auto"/>
          <w:spacing w:val="-2"/>
          <w:sz w:val="28"/>
          <w:szCs w:val="28"/>
          <w:lang w:eastAsia="zh-CN"/>
        </w:rPr>
        <w:t>一）精细化制定大气环境监管方案</w:t>
      </w:r>
      <w:bookmarkEnd w:id="319"/>
    </w:p>
    <w:p w14:paraId="68268803">
      <w:pPr>
        <w:pStyle w:val="8"/>
        <w:spacing w:line="560" w:lineRule="exact"/>
        <w:ind w:firstLine="560" w:firstLineChars="200"/>
        <w:jc w:val="both"/>
        <w:rPr>
          <w:rFonts w:ascii="Times New Roman" w:hAnsi="Times New Roman" w:eastAsia="仿宋" w:cs="Times New Roman"/>
          <w:color w:val="auto"/>
          <w:sz w:val="28"/>
          <w:szCs w:val="28"/>
          <w:lang w:eastAsia="zh-CN"/>
        </w:rPr>
      </w:pPr>
      <w:bookmarkStart w:id="324" w:name="OLE_LINK272"/>
      <w:bookmarkStart w:id="325" w:name="OLE_LINK277"/>
      <w:r>
        <w:rPr>
          <w:rFonts w:ascii="Times New Roman" w:hAnsi="Times New Roman" w:eastAsia="仿宋" w:cs="Times New Roman"/>
          <w:color w:val="auto"/>
          <w:sz w:val="28"/>
          <w:szCs w:val="28"/>
          <w:lang w:eastAsia="zh-CN"/>
        </w:rPr>
        <w:t>分区、分期、分类制定大气环境监管方案。以污染物总量控制和环境质量提升双重约束为指导，以秋冬季采暖期、夏季臭氧污染高发期为重点管控期，积极推动多污染物协同治理，推进大气环境管理体系和治理能力现代化，建立健全多污染物减排法规、政策、技术和监管机制。将辖区大气环境质量划分优先保护区、</w:t>
      </w:r>
      <w:bookmarkEnd w:id="324"/>
      <w:bookmarkEnd w:id="325"/>
      <w:r>
        <w:rPr>
          <w:rFonts w:ascii="Times New Roman" w:hAnsi="Times New Roman" w:eastAsia="仿宋" w:cs="Times New Roman"/>
          <w:color w:val="auto"/>
          <w:sz w:val="28"/>
          <w:szCs w:val="28"/>
          <w:lang w:eastAsia="zh-CN"/>
        </w:rPr>
        <w:t>重点管控区和一般管控区，分别制定和实施不同的大气环境质量管控要求。大气环境优先保护区禁止新建工业大气污染物排放项目，</w:t>
      </w:r>
      <w:bookmarkStart w:id="326" w:name="OLE_LINK278"/>
      <w:bookmarkStart w:id="327" w:name="OLE_LINK279"/>
      <w:r>
        <w:rPr>
          <w:rFonts w:ascii="Times New Roman" w:hAnsi="Times New Roman" w:eastAsia="仿宋" w:cs="Times New Roman"/>
          <w:color w:val="auto"/>
          <w:sz w:val="28"/>
          <w:szCs w:val="28"/>
          <w:lang w:eastAsia="zh-CN"/>
        </w:rPr>
        <w:t>限制餐饮等产生大气污染物排放的三产活动，涉及工业大气污染物排放的项目逐步退出。重点管控区加快重点污染工业企业退城搬迁，禁止违规新建、扩建采用非清洁燃料的项目和设施，严格落实区域企业污染物超低排放制度。大气环境一般管控区严禁违规新增高耗能高排放产业，严禁秸秆、垃圾露天焚烧，控制农业源氨排放</w:t>
      </w:r>
      <w:r>
        <w:rPr>
          <w:rFonts w:ascii="Times New Roman" w:hAnsi="Times New Roman" w:eastAsia="仿宋" w:cs="Times New Roman"/>
          <w:color w:val="auto"/>
          <w:spacing w:val="-2"/>
          <w:sz w:val="28"/>
          <w:szCs w:val="28"/>
          <w:lang w:eastAsia="zh-CN"/>
        </w:rPr>
        <w:t>。</w:t>
      </w:r>
    </w:p>
    <w:bookmarkEnd w:id="326"/>
    <w:bookmarkEnd w:id="327"/>
    <w:p w14:paraId="5F175270">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28" w:name="_Toc183187262"/>
      <w:r>
        <w:rPr>
          <w:rFonts w:ascii="Times New Roman" w:hAnsi="Times New Roman" w:eastAsia="仿宋" w:cs="Times New Roman"/>
          <w:b/>
          <w:bCs/>
          <w:color w:val="auto"/>
          <w:spacing w:val="-2"/>
          <w:sz w:val="28"/>
          <w:szCs w:val="28"/>
          <w:lang w:eastAsia="zh-CN"/>
        </w:rPr>
        <w:t>（二）加强多污染物系统控制</w:t>
      </w:r>
      <w:bookmarkEnd w:id="328"/>
    </w:p>
    <w:p w14:paraId="2F3C286D">
      <w:pPr>
        <w:widowControl w:val="0"/>
        <w:kinsoku/>
        <w:snapToGrid/>
        <w:spacing w:line="560" w:lineRule="exact"/>
        <w:ind w:firstLine="562" w:firstLineChars="200"/>
        <w:jc w:val="both"/>
        <w:textAlignment w:val="auto"/>
        <w:rPr>
          <w:rFonts w:ascii="Times New Roman" w:hAnsi="Times New Roman" w:eastAsia="仿宋" w:cs="Times New Roman"/>
          <w:b/>
          <w:bCs/>
          <w:color w:val="auto"/>
          <w:spacing w:val="-2"/>
          <w:sz w:val="28"/>
          <w:szCs w:val="28"/>
          <w:lang w:eastAsia="zh-CN"/>
        </w:rPr>
      </w:pPr>
      <w:r>
        <w:rPr>
          <w:rFonts w:ascii="Times New Roman" w:hAnsi="Times New Roman" w:eastAsia="仿宋" w:cs="Times New Roman"/>
          <w:b/>
          <w:snapToGrid/>
          <w:color w:val="auto"/>
          <w:sz w:val="28"/>
          <w:szCs w:val="28"/>
          <w:lang w:eastAsia="zh-CN"/>
        </w:rPr>
        <w:t>协同开展</w:t>
      </w:r>
      <w:bookmarkStart w:id="329" w:name="OLE_LINK290"/>
      <w:bookmarkStart w:id="330" w:name="OLE_LINK295"/>
      <w:bookmarkStart w:id="331" w:name="OLE_LINK325"/>
      <w:bookmarkStart w:id="332" w:name="OLE_LINK328"/>
      <w:r>
        <w:rPr>
          <w:rFonts w:ascii="Times New Roman" w:hAnsi="Times New Roman" w:eastAsia="仿宋" w:cs="Times New Roman"/>
          <w:b/>
          <w:snapToGrid/>
          <w:color w:val="auto"/>
          <w:sz w:val="28"/>
          <w:szCs w:val="28"/>
          <w:lang w:eastAsia="zh-CN"/>
        </w:rPr>
        <w:t>O</w:t>
      </w:r>
      <w:r>
        <w:rPr>
          <w:rFonts w:ascii="Times New Roman" w:hAnsi="Times New Roman" w:eastAsia="仿宋" w:cs="Times New Roman"/>
          <w:b/>
          <w:snapToGrid/>
          <w:color w:val="auto"/>
          <w:sz w:val="28"/>
          <w:szCs w:val="28"/>
          <w:vertAlign w:val="subscript"/>
          <w:lang w:eastAsia="zh-CN"/>
        </w:rPr>
        <w:t>3</w:t>
      </w:r>
      <w:bookmarkEnd w:id="329"/>
      <w:bookmarkEnd w:id="330"/>
      <w:bookmarkStart w:id="333" w:name="OLE_LINK288"/>
      <w:bookmarkStart w:id="334" w:name="OLE_LINK289"/>
      <w:bookmarkStart w:id="335" w:name="OLE_LINK299"/>
      <w:bookmarkStart w:id="336" w:name="OLE_LINK304"/>
      <w:r>
        <w:rPr>
          <w:rFonts w:ascii="Times New Roman" w:hAnsi="Times New Roman" w:eastAsia="仿宋" w:cs="Times New Roman"/>
          <w:b/>
          <w:snapToGrid/>
          <w:color w:val="auto"/>
          <w:sz w:val="28"/>
          <w:szCs w:val="28"/>
          <w:lang w:eastAsia="zh-CN"/>
        </w:rPr>
        <w:t>、</w:t>
      </w:r>
      <w:bookmarkStart w:id="337" w:name="OLE_LINK309"/>
      <w:bookmarkStart w:id="338" w:name="OLE_LINK310"/>
      <w:bookmarkStart w:id="339" w:name="OLE_LINK318"/>
      <w:bookmarkStart w:id="340" w:name="OLE_LINK323"/>
      <w:bookmarkStart w:id="341" w:name="OLE_LINK324"/>
      <w:r>
        <w:rPr>
          <w:rFonts w:ascii="Times New Roman" w:hAnsi="Times New Roman" w:eastAsia="仿宋" w:cs="Times New Roman"/>
          <w:b/>
          <w:snapToGrid/>
          <w:color w:val="auto"/>
          <w:sz w:val="28"/>
          <w:szCs w:val="28"/>
          <w:lang w:eastAsia="zh-CN"/>
        </w:rPr>
        <w:t>PM</w:t>
      </w:r>
      <w:bookmarkEnd w:id="333"/>
      <w:bookmarkEnd w:id="334"/>
      <w:r>
        <w:rPr>
          <w:rFonts w:ascii="Times New Roman" w:hAnsi="Times New Roman" w:eastAsia="仿宋" w:cs="Times New Roman"/>
          <w:b/>
          <w:snapToGrid/>
          <w:color w:val="auto"/>
          <w:sz w:val="28"/>
          <w:szCs w:val="28"/>
          <w:vertAlign w:val="subscript"/>
          <w:lang w:eastAsia="zh-CN"/>
        </w:rPr>
        <w:t>10</w:t>
      </w:r>
      <w:bookmarkEnd w:id="335"/>
      <w:bookmarkEnd w:id="336"/>
      <w:bookmarkEnd w:id="337"/>
      <w:bookmarkEnd w:id="338"/>
      <w:bookmarkEnd w:id="339"/>
      <w:bookmarkEnd w:id="340"/>
      <w:bookmarkEnd w:id="341"/>
      <w:bookmarkStart w:id="342" w:name="OLE_LINK311"/>
      <w:bookmarkStart w:id="343" w:name="OLE_LINK317"/>
      <w:r>
        <w:rPr>
          <w:rFonts w:ascii="Times New Roman" w:hAnsi="Times New Roman" w:eastAsia="仿宋" w:cs="Times New Roman"/>
          <w:b/>
          <w:snapToGrid/>
          <w:color w:val="auto"/>
          <w:sz w:val="28"/>
          <w:szCs w:val="28"/>
          <w:lang w:eastAsia="zh-CN"/>
        </w:rPr>
        <w:t>和</w:t>
      </w:r>
      <w:bookmarkEnd w:id="342"/>
      <w:bookmarkEnd w:id="343"/>
      <w:r>
        <w:rPr>
          <w:rFonts w:ascii="Times New Roman" w:hAnsi="Times New Roman" w:eastAsia="仿宋" w:cs="Times New Roman"/>
          <w:b/>
          <w:snapToGrid/>
          <w:color w:val="auto"/>
          <w:sz w:val="28"/>
          <w:szCs w:val="28"/>
          <w:lang w:eastAsia="zh-CN"/>
        </w:rPr>
        <w:t>PM</w:t>
      </w:r>
      <w:r>
        <w:rPr>
          <w:rFonts w:ascii="Times New Roman" w:hAnsi="Times New Roman" w:eastAsia="仿宋" w:cs="Times New Roman"/>
          <w:b/>
          <w:snapToGrid/>
          <w:color w:val="auto"/>
          <w:sz w:val="28"/>
          <w:szCs w:val="28"/>
          <w:vertAlign w:val="subscript"/>
          <w:lang w:eastAsia="zh-CN"/>
        </w:rPr>
        <w:t>2.5</w:t>
      </w:r>
      <w:bookmarkEnd w:id="331"/>
      <w:bookmarkEnd w:id="332"/>
      <w:r>
        <w:rPr>
          <w:rFonts w:ascii="Times New Roman" w:hAnsi="Times New Roman" w:eastAsia="仿宋" w:cs="Times New Roman"/>
          <w:b/>
          <w:snapToGrid/>
          <w:color w:val="auto"/>
          <w:sz w:val="28"/>
          <w:szCs w:val="28"/>
          <w:lang w:eastAsia="zh-CN"/>
        </w:rPr>
        <w:t>污染防治</w:t>
      </w:r>
      <w:r>
        <w:rPr>
          <w:rFonts w:ascii="Times New Roman" w:hAnsi="Times New Roman" w:eastAsia="仿宋" w:cs="Times New Roman"/>
          <w:snapToGrid/>
          <w:color w:val="auto"/>
          <w:sz w:val="28"/>
          <w:szCs w:val="28"/>
          <w:lang w:eastAsia="zh-CN"/>
        </w:rPr>
        <w:t>。翁牛特旗环境空气质量优良率虽然保持在较高水平，但呈现轻微下降趋势，主要超标项目为O</w:t>
      </w:r>
      <w:r>
        <w:rPr>
          <w:rFonts w:ascii="Times New Roman" w:hAnsi="Times New Roman" w:eastAsia="仿宋" w:cs="Times New Roman"/>
          <w:snapToGrid/>
          <w:color w:val="auto"/>
          <w:sz w:val="28"/>
          <w:szCs w:val="28"/>
          <w:vertAlign w:val="subscript"/>
          <w:lang w:eastAsia="zh-CN"/>
        </w:rPr>
        <w:t>3</w:t>
      </w:r>
      <w:r>
        <w:rPr>
          <w:rFonts w:ascii="Times New Roman" w:hAnsi="Times New Roman" w:eastAsia="仿宋" w:cs="Times New Roman"/>
          <w:color w:val="auto"/>
          <w:sz w:val="28"/>
          <w:szCs w:val="28"/>
          <w:lang w:eastAsia="zh-CN"/>
        </w:rPr>
        <w:t xml:space="preserve"> 和</w:t>
      </w:r>
      <w:r>
        <w:rPr>
          <w:rFonts w:ascii="Times New Roman" w:hAnsi="Times New Roman" w:eastAsia="仿宋" w:cs="Times New Roman"/>
          <w:snapToGrid/>
          <w:color w:val="auto"/>
          <w:sz w:val="28"/>
          <w:szCs w:val="28"/>
          <w:lang w:eastAsia="zh-CN"/>
        </w:rPr>
        <w:t>PM</w:t>
      </w:r>
      <w:r>
        <w:rPr>
          <w:rFonts w:ascii="Times New Roman" w:hAnsi="Times New Roman" w:eastAsia="仿宋" w:cs="Times New Roman"/>
          <w:snapToGrid/>
          <w:color w:val="auto"/>
          <w:sz w:val="28"/>
          <w:szCs w:val="28"/>
          <w:vertAlign w:val="subscript"/>
          <w:lang w:eastAsia="zh-CN"/>
        </w:rPr>
        <w:t>10</w:t>
      </w:r>
      <w:r>
        <w:rPr>
          <w:rFonts w:ascii="Times New Roman" w:hAnsi="Times New Roman" w:eastAsia="仿宋" w:cs="Times New Roman"/>
          <w:snapToGrid/>
          <w:color w:val="auto"/>
          <w:sz w:val="28"/>
          <w:szCs w:val="28"/>
          <w:lang w:eastAsia="zh-CN"/>
        </w:rPr>
        <w:t>，统筹挥发性有机物VOCs和氮氧化物是形成臭氧的重要前体物质，在高温和强光下极易发生化学反应生成臭氧。统筹考虑O</w:t>
      </w:r>
      <w:r>
        <w:rPr>
          <w:rFonts w:ascii="Times New Roman" w:hAnsi="Times New Roman" w:eastAsia="仿宋" w:cs="Times New Roman"/>
          <w:snapToGrid/>
          <w:color w:val="auto"/>
          <w:sz w:val="28"/>
          <w:szCs w:val="28"/>
          <w:vertAlign w:val="subscript"/>
          <w:lang w:eastAsia="zh-CN"/>
        </w:rPr>
        <w:t>3</w:t>
      </w:r>
      <w:r>
        <w:rPr>
          <w:rFonts w:ascii="Times New Roman" w:hAnsi="Times New Roman" w:eastAsia="仿宋" w:cs="Times New Roman"/>
          <w:snapToGrid/>
          <w:color w:val="auto"/>
          <w:sz w:val="28"/>
          <w:szCs w:val="28"/>
          <w:lang w:eastAsia="zh-CN"/>
        </w:rPr>
        <w:t>、PM</w:t>
      </w:r>
      <w:r>
        <w:rPr>
          <w:rFonts w:ascii="Times New Roman" w:hAnsi="Times New Roman" w:eastAsia="仿宋" w:cs="Times New Roman"/>
          <w:snapToGrid/>
          <w:color w:val="auto"/>
          <w:sz w:val="28"/>
          <w:szCs w:val="28"/>
          <w:vertAlign w:val="subscript"/>
          <w:lang w:eastAsia="zh-CN"/>
        </w:rPr>
        <w:t>10</w:t>
      </w:r>
      <w:r>
        <w:rPr>
          <w:rFonts w:ascii="Times New Roman" w:hAnsi="Times New Roman" w:eastAsia="仿宋" w:cs="Times New Roman"/>
          <w:snapToGrid/>
          <w:color w:val="auto"/>
          <w:sz w:val="28"/>
          <w:szCs w:val="28"/>
          <w:lang w:eastAsia="zh-CN"/>
        </w:rPr>
        <w:t>和PM</w:t>
      </w:r>
      <w:r>
        <w:rPr>
          <w:rFonts w:ascii="Times New Roman" w:hAnsi="Times New Roman" w:eastAsia="仿宋" w:cs="Times New Roman"/>
          <w:snapToGrid/>
          <w:color w:val="auto"/>
          <w:sz w:val="28"/>
          <w:szCs w:val="28"/>
          <w:vertAlign w:val="subscript"/>
          <w:lang w:eastAsia="zh-CN"/>
        </w:rPr>
        <w:t>2.5</w:t>
      </w:r>
      <w:r>
        <w:rPr>
          <w:rFonts w:ascii="Times New Roman" w:hAnsi="Times New Roman" w:eastAsia="仿宋" w:cs="Times New Roman"/>
          <w:snapToGrid/>
          <w:color w:val="auto"/>
          <w:sz w:val="28"/>
          <w:szCs w:val="28"/>
          <w:lang w:eastAsia="zh-CN"/>
        </w:rPr>
        <w:t>污染区域传输规律和季节性特征，强化分区分时分类差异化协同管控。加大对施工扬尘、餐饮油烟污染监管，限时完成加油站、储油库、油罐车的油气回收治理，增加城市道路洒水（雾炮）降尘及降温频次。</w:t>
      </w:r>
    </w:p>
    <w:p w14:paraId="6E567456">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有效管控挥发性有机物排放。</w:t>
      </w:r>
      <w:bookmarkStart w:id="344" w:name="OLE_LINK331"/>
      <w:r>
        <w:rPr>
          <w:rFonts w:ascii="Times New Roman" w:hAnsi="Times New Roman" w:eastAsia="仿宋" w:cs="Times New Roman"/>
          <w:color w:val="auto"/>
          <w:sz w:val="28"/>
          <w:szCs w:val="28"/>
          <w:lang w:eastAsia="zh-CN"/>
        </w:rPr>
        <w:t>全面推进VOCs重点行业综合整治，推动原辅材料替代，推广使用低VOCs含量涂料、油墨、胶粘剂、清洗剂等，有效减少VOCs排放。</w:t>
      </w:r>
      <w:bookmarkEnd w:id="344"/>
      <w:r>
        <w:rPr>
          <w:rFonts w:ascii="Times New Roman" w:hAnsi="Times New Roman" w:eastAsia="仿宋" w:cs="Times New Roman"/>
          <w:color w:val="auto"/>
          <w:sz w:val="28"/>
          <w:szCs w:val="28"/>
          <w:lang w:eastAsia="zh-CN"/>
        </w:rPr>
        <w:t>开展成品油等涉VOCs物质储罐排查，除因安全生产等原因必须保留的VOCs废气排放系统</w:t>
      </w:r>
      <w:bookmarkEnd w:id="322"/>
      <w:bookmarkEnd w:id="323"/>
      <w:r>
        <w:rPr>
          <w:rFonts w:ascii="Times New Roman" w:hAnsi="Times New Roman" w:eastAsia="仿宋" w:cs="Times New Roman"/>
          <w:color w:val="auto"/>
          <w:sz w:val="28"/>
          <w:szCs w:val="28"/>
          <w:lang w:eastAsia="zh-CN"/>
        </w:rPr>
        <w:t>旁路外，逐步取消相关企业非必要的VOCs废气排放系统旁路。强化机动车VOCs排放污染防治，抓好汽修、干洗、餐饮等生活源VOCs污染治理。</w:t>
      </w:r>
    </w:p>
    <w:p w14:paraId="246D6798">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45" w:name="_Toc183187263"/>
      <w:r>
        <w:rPr>
          <w:rFonts w:ascii="Times New Roman" w:hAnsi="Times New Roman" w:eastAsia="仿宋" w:cs="Times New Roman"/>
          <w:b/>
          <w:bCs/>
          <w:color w:val="auto"/>
          <w:spacing w:val="-2"/>
          <w:sz w:val="28"/>
          <w:szCs w:val="28"/>
          <w:lang w:eastAsia="zh-CN"/>
        </w:rPr>
        <w:t>（三）妥善应对重污染天气</w:t>
      </w:r>
      <w:bookmarkEnd w:id="345"/>
    </w:p>
    <w:p w14:paraId="142BEB8B">
      <w:pPr>
        <w:kinsoku/>
        <w:spacing w:line="560" w:lineRule="exact"/>
        <w:ind w:firstLine="560"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lang w:eastAsia="zh-CN"/>
        </w:rPr>
        <w:t>完善重度及以上污染天气的区域联合预警机制，加强环保与气象部门业务合作和信息共享。提高预报准确性，及时发布环境空气质量预报信息，争取实现预报信息全旗共享、联网发布。严格落实翁牛特旗重污染天气应急预案，</w:t>
      </w:r>
      <w:bookmarkStart w:id="346" w:name="OLE_LINK332"/>
      <w:bookmarkStart w:id="347" w:name="OLE_LINK333"/>
      <w:r>
        <w:rPr>
          <w:rFonts w:ascii="Times New Roman" w:hAnsi="Times New Roman" w:eastAsia="仿宋" w:cs="Times New Roman"/>
          <w:color w:val="auto"/>
          <w:sz w:val="28"/>
          <w:szCs w:val="28"/>
          <w:lang w:eastAsia="zh-CN"/>
        </w:rPr>
        <w:t>加强环境空气质量预报和重污染天气监测预警能力建设，进一步提升PM</w:t>
      </w:r>
      <w:r>
        <w:rPr>
          <w:rFonts w:ascii="Times New Roman" w:hAnsi="Times New Roman" w:eastAsia="仿宋" w:cs="Times New Roman"/>
          <w:color w:val="auto"/>
          <w:sz w:val="28"/>
          <w:szCs w:val="28"/>
          <w:vertAlign w:val="subscript"/>
          <w:lang w:eastAsia="zh-CN"/>
        </w:rPr>
        <w:t>2.5</w:t>
      </w:r>
      <w:r>
        <w:rPr>
          <w:rFonts w:ascii="Times New Roman" w:hAnsi="Times New Roman" w:eastAsia="仿宋" w:cs="Times New Roman"/>
          <w:color w:val="auto"/>
          <w:sz w:val="28"/>
          <w:szCs w:val="28"/>
          <w:lang w:eastAsia="zh-CN"/>
        </w:rPr>
        <w:t>、O</w:t>
      </w:r>
      <w:r>
        <w:rPr>
          <w:rFonts w:ascii="Times New Roman" w:hAnsi="Times New Roman" w:eastAsia="仿宋" w:cs="Times New Roman"/>
          <w:color w:val="auto"/>
          <w:sz w:val="28"/>
          <w:szCs w:val="28"/>
          <w:vertAlign w:val="subscript"/>
          <w:lang w:eastAsia="zh-CN"/>
        </w:rPr>
        <w:t>3</w:t>
      </w:r>
      <w:r>
        <w:rPr>
          <w:rFonts w:ascii="Times New Roman" w:hAnsi="Times New Roman" w:eastAsia="仿宋" w:cs="Times New Roman"/>
          <w:color w:val="auto"/>
          <w:sz w:val="28"/>
          <w:szCs w:val="28"/>
          <w:lang w:eastAsia="zh-CN"/>
        </w:rPr>
        <w:t>空气质量预报等级准确率，</w:t>
      </w:r>
      <w:bookmarkEnd w:id="346"/>
      <w:bookmarkEnd w:id="347"/>
      <w:r>
        <w:rPr>
          <w:rFonts w:ascii="Times New Roman" w:hAnsi="Times New Roman" w:eastAsia="仿宋" w:cs="Times New Roman"/>
          <w:color w:val="auto"/>
          <w:sz w:val="28"/>
          <w:szCs w:val="28"/>
          <w:lang w:eastAsia="zh-CN"/>
        </w:rPr>
        <w:t>完善PM</w:t>
      </w:r>
      <w:r>
        <w:rPr>
          <w:rFonts w:ascii="Times New Roman" w:hAnsi="Times New Roman" w:eastAsia="仿宋" w:cs="Times New Roman"/>
          <w:color w:val="auto"/>
          <w:sz w:val="28"/>
          <w:szCs w:val="28"/>
          <w:vertAlign w:val="subscript"/>
          <w:lang w:eastAsia="zh-CN"/>
        </w:rPr>
        <w:t>2.5</w:t>
      </w:r>
      <w:r>
        <w:rPr>
          <w:rFonts w:ascii="Times New Roman" w:hAnsi="Times New Roman" w:eastAsia="仿宋" w:cs="Times New Roman"/>
          <w:color w:val="auto"/>
          <w:sz w:val="28"/>
          <w:szCs w:val="28"/>
          <w:lang w:eastAsia="zh-CN"/>
        </w:rPr>
        <w:t>和O</w:t>
      </w:r>
      <w:r>
        <w:rPr>
          <w:rFonts w:ascii="Times New Roman" w:hAnsi="Times New Roman" w:eastAsia="仿宋" w:cs="Times New Roman"/>
          <w:color w:val="auto"/>
          <w:sz w:val="28"/>
          <w:szCs w:val="28"/>
          <w:vertAlign w:val="subscript"/>
          <w:lang w:eastAsia="zh-CN"/>
        </w:rPr>
        <w:t>3</w:t>
      </w:r>
      <w:r>
        <w:rPr>
          <w:rFonts w:ascii="Times New Roman" w:hAnsi="Times New Roman" w:eastAsia="仿宋" w:cs="Times New Roman"/>
          <w:color w:val="auto"/>
          <w:sz w:val="28"/>
          <w:szCs w:val="28"/>
          <w:lang w:eastAsia="zh-CN"/>
        </w:rPr>
        <w:t>重污染天气预警应急响应机制及时科学研判预警，确保重污染天气时应急工作及时启动，及时更新应急减排项目清单，实施“一厂一策”清单化管理，明确不同应急等级条件下停产的生产线、工艺环节和各类减排措施的关键性指标，确保各项应急减排措施能落地、可操作，不断提升重污染天气应对能力和水平</w:t>
      </w:r>
      <w:r>
        <w:rPr>
          <w:rFonts w:ascii="Times New Roman" w:hAnsi="Times New Roman" w:eastAsia="仿宋" w:cs="Times New Roman"/>
          <w:color w:val="auto"/>
          <w:spacing w:val="-3"/>
          <w:sz w:val="28"/>
          <w:szCs w:val="28"/>
          <w:lang w:eastAsia="zh-CN"/>
        </w:rPr>
        <w:t>。</w:t>
      </w:r>
    </w:p>
    <w:p w14:paraId="293CD3E1">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48" w:name="_Toc183187264"/>
      <w:bookmarkStart w:id="349" w:name="OLE_LINK351"/>
      <w:bookmarkStart w:id="350" w:name="OLE_LINK353"/>
      <w:bookmarkStart w:id="351" w:name="OLE_LINK352"/>
      <w:bookmarkStart w:id="352" w:name="OLE_LINK339"/>
      <w:bookmarkStart w:id="353" w:name="OLE_LINK340"/>
      <w:r>
        <w:rPr>
          <w:rFonts w:ascii="Times New Roman" w:hAnsi="Times New Roman" w:eastAsia="仿宋" w:cs="Times New Roman"/>
          <w:b/>
          <w:bCs/>
          <w:color w:val="auto"/>
          <w:spacing w:val="-2"/>
          <w:sz w:val="28"/>
          <w:szCs w:val="28"/>
          <w:lang w:eastAsia="zh-CN"/>
        </w:rPr>
        <w:t>（四）深化工业废气综合治理</w:t>
      </w:r>
      <w:bookmarkEnd w:id="348"/>
    </w:p>
    <w:bookmarkEnd w:id="349"/>
    <w:bookmarkEnd w:id="350"/>
    <w:bookmarkEnd w:id="351"/>
    <w:bookmarkEnd w:id="352"/>
    <w:bookmarkEnd w:id="353"/>
    <w:p w14:paraId="1D991630">
      <w:pPr>
        <w:pStyle w:val="8"/>
        <w:spacing w:line="560" w:lineRule="exact"/>
        <w:ind w:firstLine="562" w:firstLineChars="200"/>
        <w:jc w:val="both"/>
        <w:rPr>
          <w:rFonts w:ascii="Times New Roman" w:hAnsi="Times New Roman" w:eastAsia="仿宋" w:cs="Times New Roman"/>
          <w:color w:val="auto"/>
          <w:sz w:val="28"/>
          <w:szCs w:val="28"/>
          <w:lang w:eastAsia="zh-CN"/>
        </w:rPr>
      </w:pPr>
      <w:bookmarkStart w:id="354" w:name="OLE_LINK283"/>
      <w:bookmarkStart w:id="355" w:name="OLE_LINK282"/>
      <w:r>
        <w:rPr>
          <w:rFonts w:ascii="Times New Roman" w:hAnsi="Times New Roman" w:eastAsia="仿宋" w:cs="Times New Roman"/>
          <w:b/>
          <w:color w:val="auto"/>
          <w:sz w:val="28"/>
          <w:szCs w:val="28"/>
          <w:lang w:eastAsia="zh-CN"/>
        </w:rPr>
        <w:t>强化重点行业排污许可</w:t>
      </w:r>
      <w:bookmarkEnd w:id="354"/>
      <w:bookmarkEnd w:id="355"/>
      <w:r>
        <w:rPr>
          <w:rFonts w:ascii="Times New Roman" w:hAnsi="Times New Roman" w:eastAsia="仿宋" w:cs="Times New Roman"/>
          <w:b/>
          <w:color w:val="auto"/>
          <w:sz w:val="28"/>
          <w:szCs w:val="28"/>
          <w:lang w:eastAsia="zh-CN"/>
        </w:rPr>
        <w:t>管理。</w:t>
      </w:r>
      <w:r>
        <w:rPr>
          <w:rFonts w:ascii="Times New Roman" w:hAnsi="Times New Roman" w:eastAsia="仿宋" w:cs="Times New Roman"/>
          <w:color w:val="auto"/>
          <w:sz w:val="28"/>
          <w:szCs w:val="28"/>
          <w:lang w:eastAsia="zh-CN"/>
        </w:rPr>
        <w:t>依据不同行业排放标准和实际规定产能，核算排污许可，对重点行业逐一核实排污总量，大幅压减不符合产业政策的企业排污许可总量，确定各行业主要污染物减排管控措施，分解各企业排污许可总量，按月严格考核。</w:t>
      </w:r>
    </w:p>
    <w:p w14:paraId="14136144">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推进重点行业深度治理。</w:t>
      </w:r>
      <w:bookmarkStart w:id="356" w:name="OLE_LINK6"/>
      <w:bookmarkStart w:id="357" w:name="OLE_LINK7"/>
      <w:r>
        <w:rPr>
          <w:rFonts w:ascii="Times New Roman" w:hAnsi="Times New Roman" w:eastAsia="仿宋" w:cs="Times New Roman"/>
          <w:color w:val="auto"/>
          <w:sz w:val="28"/>
          <w:szCs w:val="28"/>
          <w:lang w:eastAsia="zh-CN"/>
        </w:rPr>
        <w:t>加大建筑、</w:t>
      </w:r>
      <w:bookmarkEnd w:id="356"/>
      <w:bookmarkEnd w:id="357"/>
      <w:r>
        <w:rPr>
          <w:rFonts w:ascii="Times New Roman" w:hAnsi="Times New Roman" w:eastAsia="仿宋" w:cs="Times New Roman"/>
          <w:color w:val="auto"/>
          <w:sz w:val="28"/>
          <w:szCs w:val="28"/>
          <w:lang w:eastAsia="zh-CN"/>
        </w:rPr>
        <w:t>热电、有色金属冶炼等行业物料储存、输送及生产工艺过程无组织排放管控力度。强化工业炉窑污染治理，加快淘汰热效率低下、治理设施工艺落后的工业炉密。禁止新建燃料类煤气发生炉，现有企业分散式煤气发生炉全部淘汰。重点涉气排放企业逐步取消烟气旁路，因安全生产无法取消的，安装在线监控系统。加大畜禽养殖臭气防治，持续实施畜禽养殖污染防治整县推进。</w:t>
      </w:r>
    </w:p>
    <w:p w14:paraId="6F3B6C14">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58" w:name="_Toc183187265"/>
      <w:bookmarkStart w:id="359" w:name="OLE_LINK354"/>
      <w:bookmarkStart w:id="360" w:name="OLE_LINK355"/>
      <w:r>
        <w:rPr>
          <w:rFonts w:ascii="Times New Roman" w:hAnsi="Times New Roman" w:eastAsia="仿宋" w:cs="Times New Roman"/>
          <w:b/>
          <w:bCs/>
          <w:color w:val="auto"/>
          <w:spacing w:val="-2"/>
          <w:sz w:val="28"/>
          <w:szCs w:val="28"/>
          <w:lang w:eastAsia="zh-CN"/>
        </w:rPr>
        <w:t>（五）大力推进低空面源污染防治</w:t>
      </w:r>
      <w:bookmarkEnd w:id="358"/>
    </w:p>
    <w:bookmarkEnd w:id="359"/>
    <w:bookmarkEnd w:id="360"/>
    <w:p w14:paraId="1626D39F">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积极构建绿色交通运输结构。</w:t>
      </w:r>
      <w:r>
        <w:rPr>
          <w:rFonts w:ascii="Times New Roman" w:hAnsi="Times New Roman" w:eastAsia="仿宋" w:cs="Times New Roman"/>
          <w:color w:val="auto"/>
          <w:sz w:val="28"/>
          <w:szCs w:val="28"/>
          <w:lang w:eastAsia="zh-CN"/>
        </w:rPr>
        <w:t>大力发展绿色公共交通，科学规划城市公交，完善公共交通基础设施建设，完成农村牧区客运班线公交化改造。加快布局新能源汽车充电桩、智能交通建设。建设城镇绿色物流体</w:t>
      </w:r>
      <w:bookmarkStart w:id="361" w:name="OLE_LINK337"/>
      <w:bookmarkStart w:id="362" w:name="OLE_LINK338"/>
      <w:r>
        <w:rPr>
          <w:rFonts w:ascii="Times New Roman" w:hAnsi="Times New Roman" w:eastAsia="仿宋" w:cs="Times New Roman"/>
          <w:color w:val="auto"/>
          <w:sz w:val="28"/>
          <w:szCs w:val="28"/>
          <w:lang w:eastAsia="zh-CN"/>
        </w:rPr>
        <w:t>系，支持利用</w:t>
      </w:r>
      <w:bookmarkEnd w:id="361"/>
      <w:bookmarkEnd w:id="362"/>
      <w:r>
        <w:rPr>
          <w:rFonts w:ascii="Times New Roman" w:hAnsi="Times New Roman" w:eastAsia="仿宋" w:cs="Times New Roman"/>
          <w:color w:val="auto"/>
          <w:sz w:val="28"/>
          <w:szCs w:val="28"/>
          <w:lang w:eastAsia="zh-CN"/>
        </w:rPr>
        <w:t>城镇现有货场物流，将货场转型升级为城镇配送中心。到2025年，保证新增和更新公共汽电车中新能源和清洁能源车辆比例达到100%。</w:t>
      </w:r>
    </w:p>
    <w:p w14:paraId="4687296C">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推进低空面源污染整治。</w:t>
      </w:r>
      <w:r>
        <w:rPr>
          <w:rFonts w:ascii="Times New Roman" w:hAnsi="Times New Roman" w:eastAsia="仿宋" w:cs="Times New Roman"/>
          <w:color w:val="auto"/>
          <w:sz w:val="28"/>
          <w:szCs w:val="28"/>
          <w:lang w:eastAsia="zh-CN"/>
        </w:rPr>
        <w:t>从源头控制秸秆焚烧，提高秸秆综合利用率，强化政府秸秆禁烧主体责任，防止秸秆露天焚烧。加强工业企业无组织排放和各类物料堆场治理，在城关镇推广环卫保洁一体化成功经验，严格控制扬尘污染。严格施工扬尘监管，建立按季度更新的施工工地分类管理清单，推行绿色施工，严格执行施工过程“六个百分之百”。加强运输扬尘监管，运输煤炭、渣土、石料、水泥、垃圾等物料的车辆采取密闭、全面苫盖等措施。强化道路扬尘管控，规范道路清扫保洁作业规程，提高春季清扫频次。加强渣土车扬尘全过程管理，切实降低道路积尘负荷。加快推进绿色矿山建设，加大露天矿山综合整治力度，强化矿产开采、储存、装卸、运输过程污染防治和减尘抑尘。严控餐饮油烟污染，强化餐饮服务业油烟排放规范化整治。</w:t>
      </w:r>
    </w:p>
    <w:p w14:paraId="175DC1EE">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63" w:name="_Toc183187266"/>
      <w:r>
        <w:rPr>
          <w:rFonts w:ascii="Times New Roman" w:hAnsi="Times New Roman" w:eastAsia="仿宋" w:cs="Times New Roman"/>
          <w:b/>
          <w:bCs/>
          <w:color w:val="auto"/>
          <w:spacing w:val="-2"/>
          <w:sz w:val="28"/>
          <w:szCs w:val="28"/>
          <w:lang w:eastAsia="zh-CN"/>
        </w:rPr>
        <w:t>（六）加强噪声污染防治</w:t>
      </w:r>
      <w:bookmarkEnd w:id="363"/>
    </w:p>
    <w:p w14:paraId="43B0CA43">
      <w:pPr>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全面完成乌丹城区声环境监测点位布设。</w:t>
      </w:r>
      <w:r>
        <w:rPr>
          <w:rFonts w:ascii="Times New Roman" w:hAnsi="Times New Roman" w:eastAsia="仿宋" w:cs="Times New Roman"/>
          <w:sz w:val="28"/>
          <w:szCs w:val="28"/>
          <w:lang w:eastAsia="zh-CN"/>
        </w:rPr>
        <w:t>按照自治区相关要求，以现有声环境功能区划方案及建成区范围为基础，完成功能区噪声、区域噪声和交通噪声监测点位布设工作，并按要求完成备案。2024年开始按照点位布设方案开展噪声监测工作。按照要求在声环境功能区调整周期适时对声环境质量监测布点进行调整，到2025年，保证声环境功能区夜间达标率达到上级规定的考核任务。</w:t>
      </w:r>
    </w:p>
    <w:p w14:paraId="03989953">
      <w:pPr>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综合整治交通、社会生活噪声。</w:t>
      </w:r>
      <w:r>
        <w:rPr>
          <w:rFonts w:ascii="Times New Roman" w:hAnsi="Times New Roman" w:eastAsia="仿宋" w:cs="Times New Roman"/>
          <w:sz w:val="28"/>
          <w:szCs w:val="28"/>
          <w:lang w:eastAsia="zh-CN"/>
        </w:rPr>
        <w:t>加强对营业性文化娱乐场所噪声污染防治，重点整治现有营业性文化娱乐场所扰民投诉突出的场所。严格按照《翁牛特旗声环境功能区划方案》合理规划不同等级的城市道路两侧声环境敏感区，加大对道路的维护，降低交通噪声，在城市噪声敏感区域设置限速。禁鸣标牌，加强公路干线两侧绿化带建设。</w:t>
      </w:r>
      <w:bookmarkEnd w:id="320"/>
      <w:bookmarkEnd w:id="321"/>
    </w:p>
    <w:p w14:paraId="47E7BC19">
      <w:pPr>
        <w:pStyle w:val="3"/>
        <w:rPr>
          <w:rFonts w:ascii="Times New Roman" w:hAnsi="Times New Roman" w:cs="Times New Roman"/>
          <w:color w:val="auto"/>
          <w:lang w:eastAsia="zh-CN"/>
        </w:rPr>
      </w:pPr>
      <w:bookmarkStart w:id="364" w:name="bookmark55"/>
      <w:bookmarkEnd w:id="364"/>
      <w:bookmarkStart w:id="365" w:name="bookmark56"/>
      <w:bookmarkEnd w:id="365"/>
      <w:bookmarkStart w:id="366" w:name="_Toc183187267"/>
      <w:r>
        <w:rPr>
          <w:rFonts w:ascii="Times New Roman" w:hAnsi="Times New Roman" w:cs="Times New Roman"/>
          <w:color w:val="auto"/>
          <w:lang w:eastAsia="zh-CN"/>
        </w:rPr>
        <w:t>三、强化土壤环境治理</w:t>
      </w:r>
      <w:bookmarkEnd w:id="366"/>
    </w:p>
    <w:p w14:paraId="0499DFB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67" w:name="_Toc183187268"/>
      <w:bookmarkStart w:id="368" w:name="OLE_LINK86"/>
      <w:bookmarkStart w:id="369" w:name="OLE_LINK91"/>
      <w:bookmarkStart w:id="370" w:name="OLE_LINK419"/>
      <w:bookmarkStart w:id="371" w:name="OLE_LINK420"/>
      <w:r>
        <w:rPr>
          <w:rFonts w:ascii="Times New Roman" w:hAnsi="Times New Roman" w:eastAsia="仿宋" w:cs="Times New Roman"/>
          <w:b/>
          <w:bCs/>
          <w:color w:val="auto"/>
          <w:spacing w:val="-2"/>
          <w:sz w:val="28"/>
          <w:szCs w:val="28"/>
          <w:lang w:eastAsia="zh-CN"/>
        </w:rPr>
        <w:t>（一）实施土壤分类分级管理</w:t>
      </w:r>
      <w:bookmarkEnd w:id="367"/>
    </w:p>
    <w:p w14:paraId="51EED2A7">
      <w:pPr>
        <w:spacing w:line="560" w:lineRule="exact"/>
        <w:ind w:firstLine="560" w:firstLineChars="200"/>
        <w:jc w:val="both"/>
        <w:rPr>
          <w:rFonts w:ascii="Times New Roman" w:hAnsi="Times New Roman" w:eastAsia="仿宋" w:cs="Times New Roman"/>
          <w:sz w:val="28"/>
          <w:szCs w:val="28"/>
          <w:lang w:eastAsia="zh-CN"/>
        </w:rPr>
      </w:pPr>
      <w:bookmarkStart w:id="372" w:name="OLE_LINK104"/>
      <w:bookmarkStart w:id="373" w:name="OLE_LINK105"/>
      <w:r>
        <w:rPr>
          <w:rFonts w:ascii="Times New Roman" w:hAnsi="Times New Roman" w:eastAsia="仿宋" w:cs="Times New Roman"/>
          <w:sz w:val="28"/>
          <w:szCs w:val="28"/>
          <w:lang w:eastAsia="zh-CN"/>
        </w:rPr>
        <w:t>根据土壤污染状况、主要污染成因及污染源分布、环境风险特征等因素，以农用地及建设用地为重点，划分为农用地优先保护区、建设用地污染</w:t>
      </w:r>
      <w:bookmarkEnd w:id="372"/>
      <w:bookmarkEnd w:id="373"/>
      <w:r>
        <w:rPr>
          <w:rFonts w:ascii="Times New Roman" w:hAnsi="Times New Roman" w:eastAsia="仿宋" w:cs="Times New Roman"/>
          <w:sz w:val="28"/>
          <w:szCs w:val="28"/>
          <w:lang w:eastAsia="zh-CN"/>
        </w:rPr>
        <w:t>风险重点管控和一般管控区，实施分区分类管理。优先保护耕地、饮用水源地土壤环境，强化主要农产品产地土壤环境状况动态监控。</w:t>
      </w:r>
      <w:bookmarkStart w:id="374" w:name="OLE_LINK92"/>
      <w:bookmarkStart w:id="375" w:name="OLE_LINK97"/>
      <w:bookmarkStart w:id="376" w:name="OLE_LINK98"/>
      <w:bookmarkStart w:id="377" w:name="OLE_LINK99"/>
      <w:r>
        <w:rPr>
          <w:rFonts w:ascii="Times New Roman" w:hAnsi="Times New Roman" w:eastAsia="仿宋" w:cs="Times New Roman"/>
          <w:sz w:val="28"/>
          <w:szCs w:val="28"/>
          <w:lang w:eastAsia="zh-CN"/>
        </w:rPr>
        <w:t>落实国家土壤污染状</w:t>
      </w:r>
      <w:bookmarkEnd w:id="374"/>
      <w:bookmarkEnd w:id="375"/>
      <w:r>
        <w:rPr>
          <w:rFonts w:ascii="Times New Roman" w:hAnsi="Times New Roman" w:eastAsia="仿宋" w:cs="Times New Roman"/>
          <w:sz w:val="28"/>
          <w:szCs w:val="28"/>
          <w:lang w:eastAsia="zh-CN"/>
        </w:rPr>
        <w:t>况调查部署要求，开展污染地块污染状况评估工作，在已有的国土“三调”等数据基础上，定期组织开展农用地土壤污染状况详查和重点行业企业停产或废弃的工业场地用地调查工作，并开展风险筛查，将存在土壤污染风险的企业用地纳入采样调查范围，摸清建设用地土壤污染状况。针对风险源“重点防控行业”企业，定期排查并实施风险源分级管理，逐步清退潜在高风险行业中的在生产企业。</w:t>
      </w:r>
      <w:bookmarkEnd w:id="376"/>
      <w:bookmarkEnd w:id="377"/>
      <w:r>
        <w:rPr>
          <w:rFonts w:ascii="Times New Roman" w:hAnsi="Times New Roman" w:eastAsia="仿宋" w:cs="Times New Roman"/>
          <w:sz w:val="28"/>
          <w:szCs w:val="28"/>
          <w:lang w:eastAsia="zh-CN"/>
        </w:rPr>
        <w:t>2025年底前建立土壤分类清单。目前，翁牛特旗已开展部分重点企业用地污染状况评估，形成了土壤风险评估报告，下一步将扩大重点行业企业用地污染状况评估范围，到2030年，按照土壤环境调查建立的土壤分类清单进行全面调查评估。</w:t>
      </w:r>
      <w:bookmarkEnd w:id="368"/>
      <w:bookmarkEnd w:id="369"/>
    </w:p>
    <w:p w14:paraId="2E3F1F27">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78" w:name="OLE_LINK100"/>
      <w:bookmarkStart w:id="379" w:name="OLE_LINK103"/>
      <w:bookmarkStart w:id="380" w:name="_Toc183187269"/>
      <w:r>
        <w:rPr>
          <w:rFonts w:ascii="Times New Roman" w:hAnsi="Times New Roman" w:eastAsia="仿宋" w:cs="Times New Roman"/>
          <w:b/>
          <w:bCs/>
          <w:color w:val="auto"/>
          <w:spacing w:val="-2"/>
          <w:sz w:val="28"/>
          <w:szCs w:val="28"/>
          <w:lang w:eastAsia="zh-CN"/>
        </w:rPr>
        <w:t>（二）不断强化土壤污染防控治理</w:t>
      </w:r>
      <w:bookmarkEnd w:id="378"/>
      <w:bookmarkEnd w:id="379"/>
      <w:bookmarkEnd w:id="380"/>
    </w:p>
    <w:p w14:paraId="0ABEEB81">
      <w:pPr>
        <w:spacing w:line="560" w:lineRule="exact"/>
        <w:ind w:firstLine="560" w:firstLineChars="200"/>
        <w:jc w:val="both"/>
        <w:rPr>
          <w:rFonts w:ascii="Times New Roman" w:hAnsi="Times New Roman" w:eastAsia="仿宋" w:cs="Times New Roman"/>
          <w:sz w:val="28"/>
          <w:szCs w:val="28"/>
          <w:lang w:eastAsia="zh-CN"/>
        </w:rPr>
      </w:pPr>
      <w:bookmarkStart w:id="381" w:name="OLE_LINK106"/>
      <w:bookmarkStart w:id="382" w:name="OLE_LINK198"/>
      <w:bookmarkStart w:id="383" w:name="OLE_LINK199"/>
      <w:r>
        <w:rPr>
          <w:rFonts w:ascii="Times New Roman" w:hAnsi="Times New Roman" w:eastAsia="仿宋" w:cs="Times New Roman"/>
          <w:sz w:val="28"/>
          <w:szCs w:val="28"/>
          <w:lang w:eastAsia="zh-CN"/>
        </w:rPr>
        <w:t>强化土壤污染源头防范，严格管控工业污染，实施土壤污染重点监管单位名录制度，进一步压实在产企业土壤污染防治责任。</w:t>
      </w:r>
      <w:bookmarkEnd w:id="381"/>
      <w:bookmarkStart w:id="384" w:name="OLE_LINK115"/>
      <w:bookmarkStart w:id="385" w:name="OLE_LINK200"/>
      <w:bookmarkStart w:id="386" w:name="OLE_LINK201"/>
      <w:bookmarkStart w:id="387" w:name="OLE_LINK202"/>
      <w:bookmarkStart w:id="388" w:name="OLE_LINK107"/>
      <w:bookmarkStart w:id="389" w:name="OLE_LINK108"/>
      <w:r>
        <w:rPr>
          <w:rFonts w:ascii="Times New Roman" w:hAnsi="Times New Roman" w:eastAsia="仿宋" w:cs="Times New Roman"/>
          <w:sz w:val="28"/>
          <w:szCs w:val="28"/>
          <w:lang w:eastAsia="zh-CN"/>
        </w:rPr>
        <w:t>根据重点行业企业用地调查结果，动态更新污染地块及风险管控修复名录，</w:t>
      </w:r>
      <w:bookmarkEnd w:id="384"/>
      <w:r>
        <w:rPr>
          <w:rFonts w:ascii="Times New Roman" w:hAnsi="Times New Roman" w:eastAsia="仿宋" w:cs="Times New Roman"/>
          <w:sz w:val="28"/>
          <w:szCs w:val="28"/>
          <w:lang w:eastAsia="zh-CN"/>
        </w:rPr>
        <w:t>开</w:t>
      </w:r>
      <w:bookmarkStart w:id="390" w:name="OLE_LINK191"/>
      <w:bookmarkStart w:id="391" w:name="OLE_LINK192"/>
      <w:r>
        <w:rPr>
          <w:rFonts w:ascii="Times New Roman" w:hAnsi="Times New Roman" w:eastAsia="仿宋" w:cs="Times New Roman"/>
          <w:sz w:val="28"/>
          <w:szCs w:val="28"/>
          <w:lang w:eastAsia="zh-CN"/>
        </w:rPr>
        <w:t>展疑</w:t>
      </w:r>
      <w:bookmarkEnd w:id="390"/>
      <w:bookmarkEnd w:id="391"/>
      <w:r>
        <w:rPr>
          <w:rFonts w:ascii="Times New Roman" w:hAnsi="Times New Roman" w:eastAsia="仿宋" w:cs="Times New Roman"/>
          <w:sz w:val="28"/>
          <w:szCs w:val="28"/>
          <w:lang w:eastAsia="zh-CN"/>
        </w:rPr>
        <w:t>似地块-</w:t>
      </w:r>
      <w:bookmarkStart w:id="392" w:name="OLE_LINK193"/>
      <w:bookmarkStart w:id="393" w:name="OLE_LINK196"/>
      <w:r>
        <w:rPr>
          <w:rFonts w:ascii="Times New Roman" w:hAnsi="Times New Roman" w:eastAsia="仿宋" w:cs="Times New Roman"/>
          <w:sz w:val="28"/>
          <w:szCs w:val="28"/>
          <w:lang w:eastAsia="zh-CN"/>
        </w:rPr>
        <w:t>-翁牛特旗鑫汇化工有限责任公司地块土壤</w:t>
      </w:r>
      <w:bookmarkEnd w:id="392"/>
      <w:bookmarkEnd w:id="393"/>
      <w:r>
        <w:rPr>
          <w:rFonts w:ascii="Times New Roman" w:hAnsi="Times New Roman" w:eastAsia="仿宋" w:cs="Times New Roman"/>
          <w:sz w:val="28"/>
          <w:szCs w:val="28"/>
          <w:lang w:eastAsia="zh-CN"/>
        </w:rPr>
        <w:t>污染状况调查和土壤污染风险评估、风险管控、修复、风险管控效果评估、修复效果评估、后期管理等工作，明确土壤污染责任人负有实施土壤污染风险管控和修复的义务，加强从事土壤污染风险管控和修复单位的监管。以用途变更为住宅、公共管理与公共服务用地的污染地块为重点，严格落实风险管控和修复。</w:t>
      </w:r>
      <w:bookmarkEnd w:id="385"/>
      <w:bookmarkEnd w:id="386"/>
      <w:bookmarkEnd w:id="387"/>
      <w:r>
        <w:rPr>
          <w:rFonts w:ascii="Times New Roman" w:hAnsi="Times New Roman" w:eastAsia="仿宋" w:cs="Times New Roman"/>
          <w:sz w:val="28"/>
          <w:szCs w:val="28"/>
          <w:lang w:eastAsia="zh-CN"/>
        </w:rPr>
        <w:t>严控土地污染，加强化肥农药减量控害、畜禽养殖污染防治、灌溉水水质管理和农</w:t>
      </w:r>
      <w:bookmarkEnd w:id="382"/>
      <w:bookmarkEnd w:id="383"/>
      <w:r>
        <w:rPr>
          <w:rFonts w:ascii="Times New Roman" w:hAnsi="Times New Roman" w:eastAsia="仿宋" w:cs="Times New Roman"/>
          <w:sz w:val="28"/>
          <w:szCs w:val="28"/>
          <w:lang w:eastAsia="zh-CN"/>
        </w:rPr>
        <w:t>业废弃物回收利用等；强化生活污水和垃圾的处理，严格限制企业污染排放。实施污染治理，因地制宜通过工程措施、生物措施和农业措施等方法治理土壤污染，开展以调节农田土壤酸碱度为核心的土壤环境改良工程，改善酸化土壤PH值；采取种植绿肥、秸秆还田、增施有机肥等措施，改善农田土壤环境，提升土壤环境容量和抗风险能力。至2030年，全面消除土地污染的发生。</w:t>
      </w:r>
      <w:bookmarkEnd w:id="388"/>
      <w:bookmarkEnd w:id="389"/>
    </w:p>
    <w:p w14:paraId="001795A2">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394" w:name="_Toc183187270"/>
      <w:r>
        <w:rPr>
          <w:rFonts w:ascii="Times New Roman" w:hAnsi="Times New Roman" w:eastAsia="仿宋" w:cs="Times New Roman"/>
          <w:b/>
          <w:bCs/>
          <w:color w:val="auto"/>
          <w:spacing w:val="-2"/>
          <w:sz w:val="28"/>
          <w:szCs w:val="28"/>
          <w:lang w:eastAsia="zh-CN"/>
        </w:rPr>
        <w:t>（三）推进农用土地分类监管</w:t>
      </w:r>
      <w:bookmarkEnd w:id="394"/>
    </w:p>
    <w:p w14:paraId="783B8893">
      <w:pPr>
        <w:spacing w:line="560" w:lineRule="exact"/>
        <w:ind w:firstLine="560"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lang w:eastAsia="zh-CN"/>
        </w:rPr>
        <w:t>切实做好耕地分类别管理工作，推进受污染耕地安全利用和风险管控。根据土地利用变更和土壤环境质量变化情况，定期对耕地土壤环境质量类别划定信息进行更新。切实做好优先保护类耕地的保护工作，着力推进耕地安全利用。</w:t>
      </w:r>
      <w:bookmarkStart w:id="395" w:name="OLE_LINK110"/>
      <w:bookmarkStart w:id="396" w:name="OLE_LINK111"/>
      <w:r>
        <w:rPr>
          <w:rFonts w:ascii="Times New Roman" w:hAnsi="Times New Roman" w:eastAsia="仿宋" w:cs="Times New Roman"/>
          <w:color w:val="auto"/>
          <w:sz w:val="28"/>
          <w:szCs w:val="28"/>
          <w:lang w:eastAsia="zh-CN"/>
        </w:rPr>
        <w:t>强化农产品质量检测，在安全利用类耕地设置长期定位监测，</w:t>
      </w:r>
      <w:bookmarkEnd w:id="395"/>
      <w:bookmarkEnd w:id="396"/>
      <w:r>
        <w:rPr>
          <w:rFonts w:ascii="Times New Roman" w:hAnsi="Times New Roman" w:eastAsia="仿宋" w:cs="Times New Roman"/>
          <w:color w:val="auto"/>
          <w:sz w:val="28"/>
          <w:szCs w:val="28"/>
          <w:lang w:eastAsia="zh-CN"/>
        </w:rPr>
        <w:t>监控农产品质量安全变化动态。</w:t>
      </w:r>
      <w:bookmarkStart w:id="397" w:name="OLE_LINK109"/>
      <w:bookmarkStart w:id="398" w:name="OLE_LINK112"/>
      <w:r>
        <w:rPr>
          <w:rFonts w:ascii="Times New Roman" w:hAnsi="Times New Roman" w:eastAsia="仿宋" w:cs="Times New Roman"/>
          <w:color w:val="auto"/>
          <w:sz w:val="28"/>
          <w:szCs w:val="28"/>
          <w:lang w:eastAsia="zh-CN"/>
        </w:rPr>
        <w:t>推进高标准农田建设。以农田水利基础设施和耕地质量提升为重点开展高标准农田建设，实施土地平整、土壤改良、建设排灌设施、整修田间道路、建设农田防护林网、配套农田输配电设施等措施，大力推行节水灌溉，有效改善、提升耕地地力和土壤生态环境。高标准农田原则上全部用于粮食生产；</w:t>
      </w:r>
      <w:bookmarkStart w:id="399" w:name="OLE_LINK172"/>
      <w:r>
        <w:rPr>
          <w:rFonts w:ascii="Times New Roman" w:hAnsi="Times New Roman" w:eastAsia="仿宋" w:cs="Times New Roman"/>
          <w:color w:val="auto"/>
          <w:sz w:val="28"/>
          <w:szCs w:val="28"/>
          <w:lang w:eastAsia="zh-CN"/>
        </w:rPr>
        <w:t>到2025年，新增高标准农田24667公顷</w:t>
      </w:r>
      <w:bookmarkEnd w:id="397"/>
      <w:bookmarkEnd w:id="398"/>
      <w:bookmarkEnd w:id="399"/>
      <w:r>
        <w:rPr>
          <w:rFonts w:ascii="Times New Roman" w:hAnsi="Times New Roman" w:eastAsia="仿宋" w:cs="Times New Roman"/>
          <w:color w:val="auto"/>
          <w:sz w:val="28"/>
          <w:szCs w:val="28"/>
          <w:lang w:eastAsia="zh-CN"/>
        </w:rPr>
        <w:t>，</w:t>
      </w:r>
      <w:bookmarkStart w:id="400" w:name="OLE_LINK275"/>
      <w:bookmarkStart w:id="401" w:name="OLE_LINK276"/>
      <w:r>
        <w:rPr>
          <w:rFonts w:ascii="Times New Roman" w:hAnsi="Times New Roman" w:eastAsia="仿宋" w:cs="Times New Roman"/>
          <w:color w:val="auto"/>
          <w:sz w:val="28"/>
          <w:szCs w:val="28"/>
          <w:lang w:eastAsia="zh-CN"/>
        </w:rPr>
        <w:t>保证受污染耕地安全利用率保持在100%。</w:t>
      </w:r>
      <w:bookmarkEnd w:id="400"/>
      <w:bookmarkEnd w:id="401"/>
    </w:p>
    <w:p w14:paraId="1EF3765A">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02" w:name="OLE_LINK114"/>
      <w:bookmarkStart w:id="403" w:name="_Toc183187271"/>
      <w:r>
        <w:rPr>
          <w:rFonts w:ascii="Times New Roman" w:hAnsi="Times New Roman" w:eastAsia="仿宋" w:cs="Times New Roman"/>
          <w:b/>
          <w:bCs/>
          <w:color w:val="auto"/>
          <w:spacing w:val="-2"/>
          <w:sz w:val="28"/>
          <w:szCs w:val="28"/>
          <w:lang w:eastAsia="zh-CN"/>
        </w:rPr>
        <w:t>（四）</w:t>
      </w:r>
      <w:bookmarkEnd w:id="402"/>
      <w:r>
        <w:rPr>
          <w:rFonts w:ascii="Times New Roman" w:hAnsi="Times New Roman" w:eastAsia="仿宋" w:cs="Times New Roman"/>
          <w:b/>
          <w:bCs/>
          <w:color w:val="auto"/>
          <w:spacing w:val="-2"/>
          <w:sz w:val="28"/>
          <w:szCs w:val="28"/>
          <w:lang w:eastAsia="zh-CN"/>
        </w:rPr>
        <w:t>实行建设用地全程管理</w:t>
      </w:r>
      <w:bookmarkEnd w:id="403"/>
    </w:p>
    <w:p w14:paraId="6CC5B69A">
      <w:pPr>
        <w:pStyle w:val="8"/>
        <w:spacing w:line="560" w:lineRule="exact"/>
        <w:ind w:firstLine="560" w:firstLineChars="200"/>
        <w:jc w:val="both"/>
        <w:rPr>
          <w:rFonts w:ascii="Times New Roman" w:hAnsi="Times New Roman" w:eastAsia="仿宋" w:cs="Times New Roman"/>
          <w:color w:val="auto"/>
          <w:sz w:val="28"/>
          <w:szCs w:val="28"/>
          <w:lang w:eastAsia="zh-CN"/>
        </w:rPr>
      </w:pPr>
      <w:bookmarkStart w:id="404" w:name="OLE_LINK273"/>
      <w:bookmarkStart w:id="405" w:name="OLE_LINK274"/>
      <w:r>
        <w:rPr>
          <w:rFonts w:ascii="Times New Roman" w:hAnsi="Times New Roman" w:eastAsia="仿宋" w:cs="Times New Roman"/>
          <w:color w:val="auto"/>
          <w:sz w:val="28"/>
          <w:szCs w:val="28"/>
          <w:lang w:eastAsia="zh-CN"/>
        </w:rPr>
        <w:t>推进</w:t>
      </w:r>
      <w:bookmarkStart w:id="406" w:name="OLE_LINK211"/>
      <w:bookmarkStart w:id="407" w:name="OLE_LINK212"/>
      <w:r>
        <w:rPr>
          <w:rFonts w:ascii="Times New Roman" w:hAnsi="Times New Roman" w:eastAsia="仿宋" w:cs="Times New Roman"/>
          <w:color w:val="auto"/>
          <w:sz w:val="28"/>
          <w:szCs w:val="28"/>
          <w:lang w:eastAsia="zh-CN"/>
        </w:rPr>
        <w:t>建设用地</w:t>
      </w:r>
      <w:bookmarkEnd w:id="406"/>
      <w:bookmarkEnd w:id="407"/>
      <w:r>
        <w:rPr>
          <w:rFonts w:ascii="Times New Roman" w:hAnsi="Times New Roman" w:eastAsia="仿宋" w:cs="Times New Roman"/>
          <w:color w:val="auto"/>
          <w:sz w:val="28"/>
          <w:szCs w:val="28"/>
          <w:lang w:eastAsia="zh-CN"/>
        </w:rPr>
        <w:t>“</w:t>
      </w:r>
      <w:bookmarkStart w:id="408" w:name="OLE_LINK218"/>
      <w:bookmarkStart w:id="409" w:name="OLE_LINK219"/>
      <w:r>
        <w:rPr>
          <w:rFonts w:ascii="Times New Roman" w:hAnsi="Times New Roman" w:eastAsia="仿宋" w:cs="Times New Roman"/>
          <w:color w:val="auto"/>
          <w:sz w:val="28"/>
          <w:szCs w:val="28"/>
          <w:lang w:eastAsia="zh-CN"/>
        </w:rPr>
        <w:t>一张图</w:t>
      </w:r>
      <w:bookmarkEnd w:id="408"/>
      <w:bookmarkEnd w:id="409"/>
      <w:r>
        <w:rPr>
          <w:rFonts w:ascii="Times New Roman" w:hAnsi="Times New Roman" w:eastAsia="仿宋" w:cs="Times New Roman"/>
          <w:color w:val="auto"/>
          <w:sz w:val="28"/>
          <w:szCs w:val="28"/>
          <w:lang w:eastAsia="zh-CN"/>
        </w:rPr>
        <w:t>”管理，将建设用地土壤环境管理要求纳入城市规划和</w:t>
      </w:r>
      <w:bookmarkEnd w:id="404"/>
      <w:bookmarkEnd w:id="405"/>
      <w:r>
        <w:rPr>
          <w:rFonts w:ascii="Times New Roman" w:hAnsi="Times New Roman" w:eastAsia="仿宋" w:cs="Times New Roman"/>
          <w:color w:val="auto"/>
          <w:sz w:val="28"/>
          <w:szCs w:val="28"/>
          <w:lang w:eastAsia="zh-CN"/>
        </w:rPr>
        <w:t>供地管理。对涉及</w:t>
      </w:r>
      <w:bookmarkStart w:id="410" w:name="OLE_LINK226"/>
      <w:r>
        <w:rPr>
          <w:rFonts w:ascii="Times New Roman" w:hAnsi="Times New Roman" w:eastAsia="仿宋" w:cs="Times New Roman"/>
          <w:color w:val="auto"/>
          <w:sz w:val="28"/>
          <w:szCs w:val="28"/>
          <w:lang w:eastAsia="zh-CN"/>
        </w:rPr>
        <w:t>疑似污染地块、污染地块以及用途变更为住宅、公共管理与公共服务用地</w:t>
      </w:r>
      <w:bookmarkEnd w:id="410"/>
      <w:r>
        <w:rPr>
          <w:rFonts w:ascii="Times New Roman" w:hAnsi="Times New Roman" w:eastAsia="仿宋" w:cs="Times New Roman"/>
          <w:color w:val="auto"/>
          <w:sz w:val="28"/>
          <w:szCs w:val="28"/>
          <w:lang w:eastAsia="zh-CN"/>
        </w:rPr>
        <w:t>的地块，在用地规划、土地收回收购、供地、改变用途、开工建设等环节，实施严格的准入管理。将涉及关停、搬迁的化工、采矿等可能造成土壤污染的行业企业以及污水处理厂、垃圾填埋场、工业集聚区，都纳入建设用地</w:t>
      </w:r>
      <w:bookmarkStart w:id="411" w:name="OLE_LINK270"/>
      <w:bookmarkStart w:id="412" w:name="OLE_LINK271"/>
      <w:r>
        <w:rPr>
          <w:rFonts w:ascii="Times New Roman" w:hAnsi="Times New Roman" w:eastAsia="仿宋" w:cs="Times New Roman"/>
          <w:color w:val="auto"/>
          <w:sz w:val="28"/>
          <w:szCs w:val="28"/>
          <w:lang w:eastAsia="zh-CN"/>
        </w:rPr>
        <w:t>土壤污染</w:t>
      </w:r>
      <w:bookmarkEnd w:id="411"/>
      <w:bookmarkEnd w:id="412"/>
      <w:r>
        <w:rPr>
          <w:rFonts w:ascii="Times New Roman" w:hAnsi="Times New Roman" w:eastAsia="仿宋" w:cs="Times New Roman"/>
          <w:color w:val="auto"/>
          <w:sz w:val="28"/>
          <w:szCs w:val="28"/>
          <w:lang w:eastAsia="zh-CN"/>
        </w:rPr>
        <w:t>状况调查和风险评估。</w:t>
      </w:r>
      <w:bookmarkStart w:id="413" w:name="OLE_LINK233"/>
      <w:bookmarkStart w:id="414" w:name="OLE_LINK238"/>
      <w:r>
        <w:rPr>
          <w:rFonts w:ascii="Times New Roman" w:hAnsi="Times New Roman" w:eastAsia="仿宋" w:cs="Times New Roman"/>
          <w:color w:val="auto"/>
          <w:sz w:val="28"/>
          <w:szCs w:val="28"/>
          <w:lang w:eastAsia="zh-CN"/>
        </w:rPr>
        <w:t>防范建设用地新增污染，排放重点污染物的建设项目，在开展环境影响评价时，要增加对土壤环境影响的评价内容，并提出防范土壤污染的</w:t>
      </w:r>
      <w:bookmarkEnd w:id="413"/>
      <w:bookmarkEnd w:id="414"/>
      <w:r>
        <w:rPr>
          <w:rFonts w:ascii="Times New Roman" w:hAnsi="Times New Roman" w:eastAsia="仿宋" w:cs="Times New Roman"/>
          <w:color w:val="auto"/>
          <w:sz w:val="28"/>
          <w:szCs w:val="28"/>
          <w:lang w:eastAsia="zh-CN"/>
        </w:rPr>
        <w:t>具体措施；严格执行相关行业企业布局选址要求，要求工业企业入驻园区，集聚发展。结合区域功能定位和土壤污染防治需要，科学布局生活垃圾处理、危险废物处置、工业固体废物贮存、废旧资源再生利用等设施和场所，合理确定畜禽养殖布局和规模。</w:t>
      </w:r>
      <w:bookmarkStart w:id="415" w:name="OLE_LINK250"/>
      <w:bookmarkStart w:id="416" w:name="OLE_LINK269"/>
      <w:r>
        <w:rPr>
          <w:rFonts w:ascii="Times New Roman" w:hAnsi="Times New Roman" w:eastAsia="仿宋" w:cs="Times New Roman"/>
          <w:color w:val="auto"/>
          <w:sz w:val="28"/>
          <w:szCs w:val="28"/>
          <w:lang w:eastAsia="zh-CN"/>
        </w:rPr>
        <w:t>到2025年，</w:t>
      </w:r>
      <w:bookmarkEnd w:id="415"/>
      <w:bookmarkEnd w:id="416"/>
      <w:r>
        <w:rPr>
          <w:rFonts w:ascii="Times New Roman" w:hAnsi="Times New Roman" w:eastAsia="仿宋" w:cs="Times New Roman"/>
          <w:color w:val="auto"/>
          <w:sz w:val="28"/>
          <w:szCs w:val="28"/>
          <w:lang w:eastAsia="zh-CN"/>
        </w:rPr>
        <w:t>保证重点建设用地安全利用率保持在100%。</w:t>
      </w:r>
    </w:p>
    <w:p w14:paraId="3AF4C102">
      <w:pPr>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推进土壤和地下水污染协同治理。</w:t>
      </w:r>
      <w:r>
        <w:rPr>
          <w:rFonts w:ascii="Times New Roman" w:hAnsi="Times New Roman" w:eastAsia="仿宋" w:cs="Times New Roman"/>
          <w:color w:val="auto"/>
          <w:sz w:val="28"/>
          <w:szCs w:val="28"/>
          <w:lang w:eastAsia="zh-CN"/>
        </w:rPr>
        <w:t>督促土壤污染重点监管单位开展土壤与地下水污染隐患排查、自行检测、信息公开等，并依法</w:t>
      </w:r>
      <w:bookmarkStart w:id="417" w:name="OLE_LINK232"/>
      <w:bookmarkStart w:id="418" w:name="OLE_LINK227"/>
      <w:r>
        <w:rPr>
          <w:rFonts w:ascii="Times New Roman" w:hAnsi="Times New Roman" w:eastAsia="仿宋" w:cs="Times New Roman"/>
          <w:color w:val="auto"/>
          <w:sz w:val="28"/>
          <w:szCs w:val="28"/>
          <w:lang w:eastAsia="zh-CN"/>
        </w:rPr>
        <w:t>有序纳入排污许可证管理。</w:t>
      </w:r>
      <w:bookmarkStart w:id="419" w:name="OLE_LINK247"/>
      <w:bookmarkStart w:id="420" w:name="OLE_LINK239"/>
      <w:r>
        <w:rPr>
          <w:rFonts w:ascii="Times New Roman" w:hAnsi="Times New Roman" w:eastAsia="仿宋" w:cs="Times New Roman"/>
          <w:color w:val="auto"/>
          <w:sz w:val="28"/>
          <w:szCs w:val="28"/>
          <w:lang w:eastAsia="zh-CN"/>
        </w:rPr>
        <w:t>提升建设用地土壤环境信息化管理水平，打造“建设用地土壤环境信息一张图</w:t>
      </w:r>
      <w:bookmarkEnd w:id="417"/>
      <w:bookmarkEnd w:id="418"/>
      <w:r>
        <w:rPr>
          <w:rFonts w:ascii="Times New Roman" w:hAnsi="Times New Roman" w:eastAsia="仿宋" w:cs="Times New Roman"/>
          <w:color w:val="auto"/>
          <w:sz w:val="28"/>
          <w:szCs w:val="28"/>
          <w:lang w:eastAsia="zh-CN"/>
        </w:rPr>
        <w:t>”</w:t>
      </w:r>
      <w:r>
        <w:rPr>
          <w:rFonts w:ascii="Times New Roman" w:hAnsi="Times New Roman" w:eastAsia="仿宋" w:cs="Times New Roman"/>
          <w:color w:val="auto"/>
          <w:spacing w:val="-3"/>
          <w:sz w:val="28"/>
          <w:szCs w:val="28"/>
          <w:lang w:eastAsia="zh-CN"/>
        </w:rPr>
        <w:t>。</w:t>
      </w:r>
      <w:r>
        <w:rPr>
          <w:rFonts w:ascii="Times New Roman" w:hAnsi="Times New Roman" w:eastAsia="仿宋" w:cs="Times New Roman"/>
          <w:snapToGrid/>
          <w:color w:val="auto"/>
          <w:sz w:val="28"/>
          <w:szCs w:val="28"/>
          <w:lang w:eastAsia="zh-CN"/>
        </w:rPr>
        <w:t>以石油化工生产销售企业、矿山开采区、工业园区、尾矿库和垃</w:t>
      </w:r>
      <w:r>
        <w:rPr>
          <w:rFonts w:ascii="Times New Roman" w:hAnsi="Times New Roman" w:eastAsia="仿宋" w:cs="Times New Roman"/>
          <w:color w:val="auto"/>
          <w:sz w:val="28"/>
          <w:szCs w:val="28"/>
          <w:lang w:eastAsia="zh-CN"/>
        </w:rPr>
        <w:t>圾填埋场等工业污染源和农业面源污染源周边为重点，强化土壤与地下水环境状况调查与监管</w:t>
      </w:r>
      <w:bookmarkEnd w:id="370"/>
      <w:bookmarkEnd w:id="371"/>
      <w:r>
        <w:rPr>
          <w:rFonts w:ascii="Times New Roman" w:hAnsi="Times New Roman" w:eastAsia="仿宋" w:cs="Times New Roman"/>
          <w:color w:val="auto"/>
          <w:sz w:val="28"/>
          <w:szCs w:val="28"/>
          <w:lang w:eastAsia="zh-CN"/>
        </w:rPr>
        <w:t>。</w:t>
      </w:r>
    </w:p>
    <w:bookmarkEnd w:id="419"/>
    <w:bookmarkEnd w:id="420"/>
    <w:p w14:paraId="1EAA9662">
      <w:pPr>
        <w:pStyle w:val="3"/>
        <w:rPr>
          <w:rFonts w:ascii="Times New Roman" w:hAnsi="Times New Roman" w:cs="Times New Roman"/>
          <w:color w:val="auto"/>
          <w:lang w:eastAsia="zh-CN"/>
        </w:rPr>
      </w:pPr>
      <w:bookmarkStart w:id="421" w:name="_Toc183187272"/>
      <w:r>
        <w:rPr>
          <w:rFonts w:ascii="Times New Roman" w:hAnsi="Times New Roman" w:cs="Times New Roman"/>
          <w:color w:val="auto"/>
          <w:lang w:eastAsia="zh-CN"/>
        </w:rPr>
        <w:t>四、全面提供固体废弃综合利用</w:t>
      </w:r>
      <w:bookmarkEnd w:id="421"/>
    </w:p>
    <w:p w14:paraId="1157F0D1">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22" w:name="_Toc183187273"/>
      <w:bookmarkStart w:id="423" w:name="OLE_LINK287"/>
      <w:bookmarkStart w:id="424" w:name="OLE_LINK421"/>
      <w:bookmarkStart w:id="425" w:name="OLE_LINK422"/>
      <w:r>
        <w:rPr>
          <w:rFonts w:ascii="Times New Roman" w:hAnsi="Times New Roman" w:eastAsia="仿宋" w:cs="Times New Roman"/>
          <w:b/>
          <w:bCs/>
          <w:color w:val="auto"/>
          <w:spacing w:val="-2"/>
          <w:sz w:val="28"/>
          <w:szCs w:val="28"/>
          <w:lang w:eastAsia="zh-CN"/>
        </w:rPr>
        <w:t>（一）强化主体责任及应急保障</w:t>
      </w:r>
      <w:bookmarkEnd w:id="422"/>
    </w:p>
    <w:bookmarkEnd w:id="423"/>
    <w:p w14:paraId="75BE32C7">
      <w:pPr>
        <w:pStyle w:val="8"/>
        <w:spacing w:line="560" w:lineRule="exact"/>
        <w:ind w:firstLine="562" w:firstLineChars="200"/>
        <w:jc w:val="both"/>
        <w:rPr>
          <w:rFonts w:ascii="Times New Roman" w:hAnsi="Times New Roman" w:eastAsia="仿宋" w:cs="Times New Roman"/>
          <w:color w:val="auto"/>
          <w:sz w:val="28"/>
          <w:szCs w:val="28"/>
          <w:lang w:eastAsia="zh-CN"/>
        </w:rPr>
      </w:pPr>
      <w:bookmarkStart w:id="426" w:name="OLE_LINK284"/>
      <w:r>
        <w:rPr>
          <w:rFonts w:ascii="Times New Roman" w:hAnsi="Times New Roman" w:eastAsia="仿宋" w:cs="Times New Roman"/>
          <w:b/>
          <w:color w:val="auto"/>
          <w:sz w:val="28"/>
          <w:szCs w:val="28"/>
          <w:lang w:eastAsia="zh-CN"/>
        </w:rPr>
        <w:t>进一步强化产生危险物企业主体责任</w:t>
      </w:r>
      <w:bookmarkEnd w:id="426"/>
      <w:r>
        <w:rPr>
          <w:rFonts w:ascii="Times New Roman" w:hAnsi="Times New Roman" w:eastAsia="仿宋" w:cs="Times New Roman"/>
          <w:b/>
          <w:color w:val="auto"/>
          <w:sz w:val="28"/>
          <w:szCs w:val="28"/>
          <w:lang w:eastAsia="zh-CN"/>
        </w:rPr>
        <w:t>。</w:t>
      </w:r>
      <w:r>
        <w:rPr>
          <w:rFonts w:ascii="Times New Roman" w:hAnsi="Times New Roman" w:eastAsia="仿宋" w:cs="Times New Roman"/>
          <w:color w:val="auto"/>
          <w:sz w:val="28"/>
          <w:szCs w:val="28"/>
          <w:lang w:eastAsia="zh-CN"/>
        </w:rPr>
        <w:t>强化产废企业“第一责任主体”的意识，加强内控风险管理，杜绝违法倾倒、倒卖危险废物的行为，核实处置单位的许可资质、经营范围、工艺流程及管理水平，共同制定危险废物转运、处置方案，并严格执行。生态环境部门需定期更新区域内具有危险废物经营许可证单位的信息，确保信息对称，为产废企业选择处置单位提供有力支撑。</w:t>
      </w:r>
    </w:p>
    <w:p w14:paraId="02D4C505">
      <w:pPr>
        <w:widowControl w:val="0"/>
        <w:spacing w:line="560" w:lineRule="exact"/>
        <w:ind w:firstLine="562" w:firstLineChars="200"/>
        <w:jc w:val="both"/>
        <w:rPr>
          <w:rFonts w:ascii="Times New Roman" w:hAnsi="Times New Roman" w:eastAsia="仿宋" w:cs="Times New Roman"/>
          <w:color w:val="auto"/>
          <w:sz w:val="28"/>
          <w:szCs w:val="28"/>
          <w:lang w:eastAsia="zh-CN"/>
        </w:rPr>
      </w:pPr>
      <w:bookmarkStart w:id="427" w:name="OLE_LINK286"/>
      <w:bookmarkStart w:id="428" w:name="OLE_LINK285"/>
      <w:r>
        <w:rPr>
          <w:rFonts w:ascii="Times New Roman" w:hAnsi="Times New Roman" w:eastAsia="仿宋" w:cs="Times New Roman"/>
          <w:b/>
          <w:color w:val="auto"/>
          <w:sz w:val="28"/>
          <w:szCs w:val="28"/>
          <w:lang w:eastAsia="zh-CN"/>
        </w:rPr>
        <w:t>依法安全处置扎实应急保障。</w:t>
      </w:r>
      <w:bookmarkEnd w:id="427"/>
      <w:bookmarkEnd w:id="428"/>
      <w:r>
        <w:rPr>
          <w:rFonts w:ascii="Times New Roman" w:hAnsi="Times New Roman" w:eastAsia="仿宋" w:cs="Times New Roman"/>
          <w:color w:val="auto"/>
          <w:sz w:val="28"/>
          <w:szCs w:val="28"/>
          <w:lang w:eastAsia="zh-CN"/>
        </w:rPr>
        <w:t>以危废和固废产生量排名前十的企业为重点，进一步规范危险废物应急预案备案制度，要求企业有针对性地开展应急演练，由生态环境部门进行检查指导，提高企业对危险废物环境突发事件的快速反应与处理能力。依托规模化、专业化危险废物处置单位，建立危险废物应急处置队伍。加快提升生态环境部门危险废物监管能力，充实执法力量和专业技术力量，加强工作经费、取证设施、检测仪器配备的保障。</w:t>
      </w:r>
    </w:p>
    <w:p w14:paraId="32EAA32C">
      <w:pPr>
        <w:widowControl w:val="0"/>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不断加大执法力度。</w:t>
      </w:r>
      <w:r>
        <w:rPr>
          <w:rFonts w:ascii="Times New Roman" w:hAnsi="Times New Roman" w:eastAsia="仿宋" w:cs="Times New Roman"/>
          <w:color w:val="auto"/>
          <w:sz w:val="28"/>
          <w:szCs w:val="28"/>
          <w:lang w:eastAsia="zh-CN"/>
        </w:rPr>
        <w:t>采取联合执法、突击执法等措施，组织开展各类危险废物专项执法检查行动，</w:t>
      </w:r>
      <w:bookmarkStart w:id="429" w:name="OLE_LINK296"/>
      <w:bookmarkStart w:id="430" w:name="OLE_LINK297"/>
      <w:r>
        <w:rPr>
          <w:rFonts w:ascii="Times New Roman" w:hAnsi="Times New Roman" w:eastAsia="仿宋" w:cs="Times New Roman"/>
          <w:color w:val="auto"/>
          <w:sz w:val="28"/>
          <w:szCs w:val="28"/>
          <w:lang w:eastAsia="zh-CN"/>
        </w:rPr>
        <w:t>严厉打击将危险废物交由无经营许可证的单位处理，无经营许可证非法收集、贮存、利用、处理处置危险废物，不按许可证规定经营危险废物，不执行转移联单审批制度，伪造、出租、转借经营许可证，危险废物处置单位不达标排放或偷排污染物等各类环境违法行为。</w:t>
      </w:r>
      <w:bookmarkEnd w:id="429"/>
      <w:bookmarkEnd w:id="430"/>
    </w:p>
    <w:p w14:paraId="145C8E88">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31" w:name="_Toc183187274"/>
      <w:r>
        <w:rPr>
          <w:rFonts w:ascii="Times New Roman" w:hAnsi="Times New Roman" w:eastAsia="仿宋" w:cs="Times New Roman"/>
          <w:b/>
          <w:bCs/>
          <w:color w:val="auto"/>
          <w:spacing w:val="-2"/>
          <w:sz w:val="28"/>
          <w:szCs w:val="28"/>
          <w:lang w:eastAsia="zh-CN"/>
        </w:rPr>
        <w:t>（二）持续危险废物监管及处置</w:t>
      </w:r>
      <w:bookmarkEnd w:id="431"/>
    </w:p>
    <w:p w14:paraId="7CD20BA5">
      <w:pPr>
        <w:pStyle w:val="8"/>
        <w:widowControl w:val="0"/>
        <w:spacing w:line="560" w:lineRule="exact"/>
        <w:ind w:firstLine="562" w:firstLineChars="200"/>
        <w:jc w:val="both"/>
        <w:rPr>
          <w:rFonts w:ascii="Times New Roman" w:hAnsi="Times New Roman" w:eastAsia="仿宋" w:cs="Times New Roman"/>
          <w:color w:val="auto"/>
          <w:sz w:val="28"/>
          <w:szCs w:val="28"/>
          <w:lang w:eastAsia="zh-CN"/>
        </w:rPr>
      </w:pPr>
      <w:bookmarkStart w:id="432" w:name="OLE_LINK293"/>
      <w:bookmarkStart w:id="433" w:name="OLE_LINK294"/>
      <w:r>
        <w:rPr>
          <w:rFonts w:ascii="Times New Roman" w:hAnsi="Times New Roman" w:eastAsia="仿宋" w:cs="Times New Roman"/>
          <w:b/>
          <w:color w:val="auto"/>
          <w:sz w:val="28"/>
          <w:szCs w:val="28"/>
          <w:lang w:eastAsia="zh-CN"/>
        </w:rPr>
        <w:t>全面推进危险废物规范化管理工作。</w:t>
      </w:r>
      <w:bookmarkStart w:id="434" w:name="OLE_LINK291"/>
      <w:bookmarkStart w:id="435" w:name="OLE_LINK292"/>
      <w:r>
        <w:rPr>
          <w:rFonts w:ascii="Times New Roman" w:hAnsi="Times New Roman" w:eastAsia="仿宋" w:cs="Times New Roman"/>
          <w:color w:val="auto"/>
          <w:sz w:val="28"/>
          <w:szCs w:val="28"/>
          <w:lang w:eastAsia="zh-CN"/>
        </w:rPr>
        <w:t>严格执行申报制度，代行处置制度。按照《危险废物规范化管理指标体</w:t>
      </w:r>
      <w:bookmarkEnd w:id="432"/>
      <w:bookmarkEnd w:id="433"/>
      <w:r>
        <w:rPr>
          <w:rFonts w:ascii="Times New Roman" w:hAnsi="Times New Roman" w:eastAsia="仿宋" w:cs="Times New Roman"/>
          <w:color w:val="auto"/>
          <w:sz w:val="28"/>
          <w:szCs w:val="28"/>
          <w:lang w:eastAsia="zh-CN"/>
        </w:rPr>
        <w:t>系》要求，从生产、收集、运输、贮存、处理各环节进行全程监控。</w:t>
      </w:r>
      <w:bookmarkEnd w:id="434"/>
      <w:bookmarkEnd w:id="435"/>
      <w:r>
        <w:rPr>
          <w:rFonts w:ascii="Times New Roman" w:hAnsi="Times New Roman" w:eastAsia="仿宋" w:cs="Times New Roman"/>
          <w:color w:val="auto"/>
          <w:sz w:val="28"/>
          <w:szCs w:val="28"/>
          <w:lang w:eastAsia="zh-CN"/>
        </w:rPr>
        <w:t>强化企业现场管理，督促危险废物产生和经营单位严格落实各项管理措施，规范危险废物贮存场所设施建设、标识设置和包装管理，完善危险废物应急预案等意外事故的防治措施，持续更新完善规范的“一企一档”管理资料。在工业园区建设危废收集贮存设施或培育危废收集贮存企业，加强贮存设施管理，着力解决企业危险废物收集转运不及时、处置出路不畅通问题。以已申报的25家产生危险废物的企业为重点，加强危险废弃物监督管理。</w:t>
      </w:r>
      <w:bookmarkStart w:id="436" w:name="OLE_LINK312"/>
      <w:bookmarkStart w:id="437" w:name="OLE_LINK313"/>
      <w:r>
        <w:rPr>
          <w:rFonts w:ascii="Times New Roman" w:hAnsi="Times New Roman" w:eastAsia="仿宋" w:cs="Times New Roman"/>
          <w:color w:val="auto"/>
          <w:sz w:val="28"/>
          <w:szCs w:val="28"/>
          <w:lang w:eastAsia="zh-CN"/>
        </w:rPr>
        <w:t>到2025年，保持危险废物填埋处置量占比为0。</w:t>
      </w:r>
      <w:bookmarkEnd w:id="436"/>
      <w:bookmarkEnd w:id="437"/>
    </w:p>
    <w:p w14:paraId="735F96DB">
      <w:pPr>
        <w:widowControl w:val="0"/>
        <w:spacing w:line="560" w:lineRule="exact"/>
        <w:ind w:firstLine="562" w:firstLineChars="200"/>
        <w:jc w:val="both"/>
        <w:rPr>
          <w:rFonts w:ascii="Times New Roman" w:hAnsi="Times New Roman" w:eastAsia="仿宋" w:cs="Times New Roman"/>
          <w:sz w:val="28"/>
          <w:szCs w:val="28"/>
          <w:lang w:eastAsia="zh-CN"/>
        </w:rPr>
      </w:pPr>
      <w:bookmarkStart w:id="438" w:name="OLE_LINK298"/>
      <w:r>
        <w:rPr>
          <w:rFonts w:ascii="Times New Roman" w:hAnsi="Times New Roman" w:eastAsia="仿宋" w:cs="Times New Roman"/>
          <w:b/>
          <w:sz w:val="28"/>
          <w:szCs w:val="28"/>
          <w:lang w:eastAsia="zh-CN"/>
        </w:rPr>
        <w:t>加大医疗废物监管处置力度。</w:t>
      </w:r>
      <w:bookmarkEnd w:id="438"/>
      <w:r>
        <w:rPr>
          <w:rFonts w:ascii="Times New Roman" w:hAnsi="Times New Roman" w:eastAsia="仿宋" w:cs="Times New Roman"/>
          <w:sz w:val="28"/>
          <w:szCs w:val="28"/>
          <w:lang w:eastAsia="zh-CN"/>
        </w:rPr>
        <w:t>规范医疗废物监管制度，实行全过程管理。加强医疗废物日常管理及污染防治工作，不断加强对全旗医疗卫生机构医疗废物监管、监督力度，从医疗废物产生的源头规范医疗废物分类、收集、运送、暂存、交接的方法和程序，认真实行收储运台账机制。</w:t>
      </w:r>
      <w:bookmarkStart w:id="439" w:name="OLE_LINK300"/>
      <w:bookmarkStart w:id="440" w:name="OLE_LINK301"/>
      <w:bookmarkStart w:id="441" w:name="OLE_LINK302"/>
      <w:bookmarkStart w:id="442" w:name="OLE_LINK303"/>
      <w:r>
        <w:rPr>
          <w:rFonts w:ascii="Times New Roman" w:hAnsi="Times New Roman" w:eastAsia="仿宋" w:cs="Times New Roman"/>
          <w:sz w:val="28"/>
          <w:szCs w:val="28"/>
          <w:lang w:eastAsia="zh-CN"/>
        </w:rPr>
        <w:t>推进医疗废物收集体系建设，加强城镇、农牧区医疗废物集中处置单位管</w:t>
      </w:r>
      <w:bookmarkStart w:id="443" w:name="OLE_LINK319"/>
      <w:bookmarkStart w:id="444" w:name="OLE_LINK320"/>
      <w:r>
        <w:rPr>
          <w:rFonts w:ascii="Times New Roman" w:hAnsi="Times New Roman" w:eastAsia="仿宋" w:cs="Times New Roman"/>
          <w:sz w:val="28"/>
          <w:szCs w:val="28"/>
          <w:lang w:eastAsia="zh-CN"/>
        </w:rPr>
        <w:t>理</w:t>
      </w:r>
      <w:bookmarkEnd w:id="439"/>
      <w:bookmarkEnd w:id="440"/>
      <w:r>
        <w:rPr>
          <w:rFonts w:ascii="Times New Roman" w:hAnsi="Times New Roman" w:eastAsia="仿宋" w:cs="Times New Roman"/>
          <w:sz w:val="28"/>
          <w:szCs w:val="28"/>
          <w:lang w:eastAsia="zh-CN"/>
        </w:rPr>
        <w:t>，不</w:t>
      </w:r>
      <w:bookmarkEnd w:id="441"/>
      <w:bookmarkEnd w:id="442"/>
      <w:r>
        <w:rPr>
          <w:rFonts w:ascii="Times New Roman" w:hAnsi="Times New Roman" w:eastAsia="仿宋" w:cs="Times New Roman"/>
          <w:sz w:val="28"/>
          <w:szCs w:val="28"/>
          <w:lang w:eastAsia="zh-CN"/>
        </w:rPr>
        <w:t>断提高其处置设施的技术水平。完善医疗垃圾处置系统，实现统一收集、无害化处置。确保医疗废物处置率达100%。</w:t>
      </w:r>
    </w:p>
    <w:bookmarkEnd w:id="443"/>
    <w:bookmarkEnd w:id="444"/>
    <w:p w14:paraId="2361BC75">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45" w:name="_Toc183187275"/>
      <w:r>
        <w:rPr>
          <w:rFonts w:ascii="Times New Roman" w:hAnsi="Times New Roman" w:eastAsia="仿宋" w:cs="Times New Roman"/>
          <w:b/>
          <w:bCs/>
          <w:color w:val="auto"/>
          <w:spacing w:val="-2"/>
          <w:sz w:val="28"/>
          <w:szCs w:val="28"/>
          <w:lang w:eastAsia="zh-CN"/>
        </w:rPr>
        <w:t>（三）提高城乡生活垃圾处理能力</w:t>
      </w:r>
      <w:bookmarkEnd w:id="445"/>
    </w:p>
    <w:p w14:paraId="77878C06">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完善城乡生活垃圾处理处置设施。</w:t>
      </w:r>
      <w:bookmarkStart w:id="446" w:name="OLE_LINK248"/>
      <w:bookmarkStart w:id="447" w:name="OLE_LINK249"/>
      <w:r>
        <w:rPr>
          <w:rFonts w:ascii="Times New Roman" w:hAnsi="Times New Roman" w:eastAsia="仿宋" w:cs="Times New Roman"/>
          <w:color w:val="auto"/>
          <w:sz w:val="28"/>
          <w:szCs w:val="28"/>
          <w:lang w:eastAsia="zh-CN"/>
        </w:rPr>
        <w:t>加强城乡生活垃圾配套</w:t>
      </w:r>
      <w:bookmarkEnd w:id="446"/>
      <w:bookmarkEnd w:id="447"/>
      <w:r>
        <w:rPr>
          <w:rFonts w:ascii="Times New Roman" w:hAnsi="Times New Roman" w:eastAsia="仿宋" w:cs="Times New Roman"/>
          <w:color w:val="auto"/>
          <w:sz w:val="28"/>
          <w:szCs w:val="28"/>
          <w:lang w:eastAsia="zh-CN"/>
        </w:rPr>
        <w:t>处理设施建设，鼓励生活垃圾焚烧项目建设，加快紫城垃圾填埋场二期工程建设。完善现有生活垃圾无害化处理设施，配套建设防风抑尘网、渗滤液处置设施，并确保正常运行。加强农村生活垃圾集中收集储运，提升改造垃圾分类中转设施，新建符合标准的垃圾分类中转站，积极推进农村生活垃圾分类试点。因地制宜，探索农牧区生活垃圾清运处置模式。</w:t>
      </w:r>
    </w:p>
    <w:p w14:paraId="2613B2E0">
      <w:pPr>
        <w:pStyle w:val="8"/>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提升源头分类质量，实现全程分类收运。</w:t>
      </w:r>
      <w:r>
        <w:rPr>
          <w:rFonts w:ascii="Times New Roman" w:hAnsi="Times New Roman" w:eastAsia="仿宋" w:cs="Times New Roman"/>
          <w:color w:val="auto"/>
          <w:sz w:val="28"/>
          <w:szCs w:val="28"/>
          <w:lang w:eastAsia="zh-CN"/>
        </w:rPr>
        <w:t>实施城镇生活垃圾分类减量化行动，完善垃圾分类收集设施，实现主城区、城镇建成区生活垃圾分类收集覆盖率95%以上。加大垃圾分类宣传力度，健全生活垃圾分类回收体系。通过加大宣传，提高公众的认识水平和参与积极性，大力推广生活垃圾源头分类。要通过政府有关部门和电视、广播、报纸、海报和网络等多种媒介，大力进行垃圾源头分类收集的宣传教育，普及垃圾分类知识，使广大居民了解生活垃圾的危害及综合利用的效益，充分理解垃圾分类收集对生活环境质量改善的重要意义，使广大公众真正意识到生活垃圾分类收集的必要性，掌握垃圾分类的知识，鼓励居民积极参与垃圾分类收集</w:t>
      </w:r>
      <w:r>
        <w:rPr>
          <w:rFonts w:hint="eastAsia" w:ascii="Times New Roman" w:hAnsi="Times New Roman" w:eastAsia="仿宋" w:cs="Times New Roman"/>
          <w:color w:val="auto"/>
          <w:sz w:val="28"/>
          <w:szCs w:val="28"/>
          <w:lang w:eastAsia="zh-CN"/>
        </w:rPr>
        <w:t>。</w:t>
      </w:r>
    </w:p>
    <w:p w14:paraId="352B462C">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48" w:name="_Toc183187276"/>
      <w:r>
        <w:rPr>
          <w:rFonts w:ascii="Times New Roman" w:hAnsi="Times New Roman" w:eastAsia="仿宋" w:cs="Times New Roman"/>
          <w:b/>
          <w:bCs/>
          <w:color w:val="auto"/>
          <w:spacing w:val="-2"/>
          <w:sz w:val="28"/>
          <w:szCs w:val="28"/>
          <w:lang w:eastAsia="zh-CN"/>
        </w:rPr>
        <w:t>（四）加强</w:t>
      </w:r>
      <w:bookmarkStart w:id="449" w:name="OLE_LINK315"/>
      <w:bookmarkStart w:id="450" w:name="OLE_LINK316"/>
      <w:r>
        <w:rPr>
          <w:rFonts w:ascii="Times New Roman" w:hAnsi="Times New Roman" w:eastAsia="仿宋" w:cs="Times New Roman"/>
          <w:b/>
          <w:bCs/>
          <w:color w:val="auto"/>
          <w:spacing w:val="-2"/>
          <w:sz w:val="28"/>
          <w:szCs w:val="28"/>
          <w:lang w:eastAsia="zh-CN"/>
        </w:rPr>
        <w:t>一般固废处置利用</w:t>
      </w:r>
      <w:bookmarkEnd w:id="448"/>
      <w:bookmarkEnd w:id="449"/>
      <w:bookmarkEnd w:id="450"/>
    </w:p>
    <w:p w14:paraId="5AFC1361">
      <w:pPr>
        <w:pStyle w:val="8"/>
        <w:widowControl w:val="0"/>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控制源头减量，推进循环利用</w:t>
      </w:r>
      <w:r>
        <w:rPr>
          <w:rFonts w:ascii="Times New Roman" w:hAnsi="Times New Roman" w:eastAsia="仿宋" w:cs="Times New Roman"/>
          <w:color w:val="auto"/>
          <w:sz w:val="28"/>
          <w:szCs w:val="28"/>
          <w:lang w:eastAsia="zh-CN"/>
        </w:rPr>
        <w:t>。鼓励发展</w:t>
      </w:r>
      <w:bookmarkStart w:id="451" w:name="OLE_LINK321"/>
      <w:bookmarkStart w:id="452" w:name="OLE_LINK322"/>
      <w:r>
        <w:rPr>
          <w:rFonts w:ascii="Times New Roman" w:hAnsi="Times New Roman" w:eastAsia="仿宋" w:cs="Times New Roman"/>
          <w:color w:val="auto"/>
          <w:sz w:val="28"/>
          <w:szCs w:val="28"/>
          <w:lang w:eastAsia="zh-CN"/>
        </w:rPr>
        <w:t>低能耗</w:t>
      </w:r>
      <w:bookmarkEnd w:id="451"/>
      <w:bookmarkEnd w:id="452"/>
      <w:r>
        <w:rPr>
          <w:rFonts w:ascii="Times New Roman" w:hAnsi="Times New Roman" w:eastAsia="仿宋" w:cs="Times New Roman"/>
          <w:color w:val="auto"/>
          <w:sz w:val="28"/>
          <w:szCs w:val="28"/>
          <w:lang w:eastAsia="zh-CN"/>
        </w:rPr>
        <w:t>企业，促进清洁生产，大力推行源头削减政策，引</w:t>
      </w:r>
      <w:bookmarkStart w:id="453" w:name="OLE_LINK326"/>
      <w:bookmarkStart w:id="454" w:name="OLE_LINK327"/>
      <w:r>
        <w:rPr>
          <w:rFonts w:ascii="Times New Roman" w:hAnsi="Times New Roman" w:eastAsia="仿宋" w:cs="Times New Roman"/>
          <w:color w:val="auto"/>
          <w:sz w:val="28"/>
          <w:szCs w:val="28"/>
          <w:lang w:eastAsia="zh-CN"/>
        </w:rPr>
        <w:t>导企业尽</w:t>
      </w:r>
      <w:bookmarkEnd w:id="453"/>
      <w:bookmarkEnd w:id="454"/>
      <w:r>
        <w:rPr>
          <w:rFonts w:ascii="Times New Roman" w:hAnsi="Times New Roman" w:eastAsia="仿宋" w:cs="Times New Roman"/>
          <w:color w:val="auto"/>
          <w:sz w:val="28"/>
          <w:szCs w:val="28"/>
          <w:lang w:eastAsia="zh-CN"/>
        </w:rPr>
        <w:t>量减少废物的产生，从源头减轻工业固体废物的产生量。</w:t>
      </w:r>
      <w:bookmarkStart w:id="455" w:name="_Hlk167955280"/>
      <w:r>
        <w:rPr>
          <w:rFonts w:ascii="Times New Roman" w:hAnsi="Times New Roman" w:eastAsia="仿宋" w:cs="Times New Roman"/>
          <w:color w:val="auto"/>
          <w:sz w:val="28"/>
          <w:szCs w:val="28"/>
          <w:lang w:eastAsia="zh-CN"/>
        </w:rPr>
        <w:t>加强各类有用物质分类回收，引进规模化和规范化的回收再利用产业，落实工业固废综合利用项目，推广工业综合利用技术、工艺、设备和产品，支持工业固体废弃物综合利用应用技术研究和产业化，构建固体废弃物循环利用体系，不断</w:t>
      </w:r>
      <w:bookmarkStart w:id="456" w:name="OLE_LINK213"/>
      <w:bookmarkStart w:id="457" w:name="OLE_LINK214"/>
      <w:r>
        <w:rPr>
          <w:rFonts w:ascii="Times New Roman" w:hAnsi="Times New Roman" w:eastAsia="仿宋" w:cs="Times New Roman"/>
          <w:color w:val="auto"/>
          <w:sz w:val="28"/>
          <w:szCs w:val="28"/>
          <w:lang w:eastAsia="zh-CN"/>
        </w:rPr>
        <w:t>提升翁</w:t>
      </w:r>
      <w:bookmarkEnd w:id="456"/>
      <w:bookmarkEnd w:id="457"/>
      <w:r>
        <w:rPr>
          <w:rFonts w:ascii="Times New Roman" w:hAnsi="Times New Roman" w:eastAsia="仿宋" w:cs="Times New Roman"/>
          <w:color w:val="auto"/>
          <w:sz w:val="28"/>
          <w:szCs w:val="28"/>
          <w:lang w:eastAsia="zh-CN"/>
        </w:rPr>
        <w:t>牛特旗工业固体废物综合利用水平，</w:t>
      </w:r>
      <w:bookmarkEnd w:id="455"/>
      <w:r>
        <w:rPr>
          <w:rFonts w:ascii="Times New Roman" w:hAnsi="Times New Roman" w:eastAsia="仿宋" w:cs="Times New Roman"/>
          <w:color w:val="auto"/>
          <w:sz w:val="28"/>
          <w:szCs w:val="28"/>
          <w:lang w:eastAsia="zh-CN"/>
        </w:rPr>
        <w:t>到2025年，一般工业固体废物综合利用率保持稳定或持续改善。</w:t>
      </w:r>
    </w:p>
    <w:p w14:paraId="3D0411D8">
      <w:pPr>
        <w:pStyle w:val="8"/>
        <w:widowControl w:val="0"/>
        <w:spacing w:line="560" w:lineRule="exact"/>
        <w:ind w:firstLine="562" w:firstLineChars="200"/>
        <w:jc w:val="both"/>
        <w:rPr>
          <w:rFonts w:ascii="Times New Roman" w:hAnsi="Times New Roman" w:eastAsia="仿宋" w:cs="Times New Roman"/>
          <w:color w:val="auto"/>
          <w:sz w:val="28"/>
          <w:szCs w:val="28"/>
          <w:lang w:eastAsia="zh-CN"/>
        </w:rPr>
      </w:pPr>
      <w:r>
        <w:rPr>
          <w:rFonts w:ascii="Times New Roman" w:hAnsi="Times New Roman" w:eastAsia="仿宋" w:cs="Times New Roman"/>
          <w:b/>
          <w:color w:val="auto"/>
          <w:sz w:val="28"/>
          <w:szCs w:val="28"/>
          <w:lang w:eastAsia="zh-CN"/>
        </w:rPr>
        <w:t>规范固废处置场所及设施，完善工业园区固废处置设施。</w:t>
      </w:r>
      <w:r>
        <w:rPr>
          <w:rFonts w:ascii="Times New Roman" w:hAnsi="Times New Roman" w:eastAsia="仿宋" w:cs="Times New Roman"/>
          <w:color w:val="auto"/>
          <w:sz w:val="28"/>
          <w:szCs w:val="28"/>
          <w:lang w:eastAsia="zh-CN"/>
        </w:rPr>
        <w:t>重点监管玉龙工业园区完成配套渣场和生活垃圾填埋场建设工程。全面整治固废贮存场所，严格开展土地复垦。</w:t>
      </w:r>
      <w:bookmarkStart w:id="458" w:name="OLE_LINK216"/>
      <w:bookmarkStart w:id="459" w:name="OLE_LINK215"/>
      <w:r>
        <w:rPr>
          <w:rFonts w:ascii="Times New Roman" w:hAnsi="Times New Roman" w:eastAsia="仿宋" w:cs="Times New Roman"/>
          <w:color w:val="auto"/>
          <w:sz w:val="28"/>
          <w:szCs w:val="28"/>
          <w:lang w:eastAsia="zh-CN"/>
        </w:rPr>
        <w:t>全面整治尾矿</w:t>
      </w:r>
      <w:bookmarkEnd w:id="458"/>
      <w:bookmarkEnd w:id="459"/>
      <w:r>
        <w:rPr>
          <w:rFonts w:ascii="Times New Roman" w:hAnsi="Times New Roman" w:eastAsia="仿宋" w:cs="Times New Roman"/>
          <w:color w:val="auto"/>
          <w:sz w:val="28"/>
          <w:szCs w:val="28"/>
          <w:lang w:eastAsia="zh-CN"/>
        </w:rPr>
        <w:t>、冶炼渣以及脱硫、脱硝、</w:t>
      </w:r>
      <w:bookmarkStart w:id="460" w:name="OLE_LINK314"/>
      <w:r>
        <w:rPr>
          <w:rFonts w:ascii="Times New Roman" w:hAnsi="Times New Roman" w:eastAsia="仿宋" w:cs="Times New Roman"/>
          <w:color w:val="auto"/>
          <w:sz w:val="28"/>
          <w:szCs w:val="28"/>
          <w:lang w:eastAsia="zh-CN"/>
        </w:rPr>
        <w:t>除尘产生固体废物的堆存场所</w:t>
      </w:r>
      <w:bookmarkEnd w:id="460"/>
      <w:r>
        <w:rPr>
          <w:rFonts w:ascii="Times New Roman" w:hAnsi="Times New Roman" w:eastAsia="仿宋" w:cs="Times New Roman"/>
          <w:color w:val="auto"/>
          <w:sz w:val="28"/>
          <w:szCs w:val="28"/>
          <w:lang w:eastAsia="zh-CN"/>
        </w:rPr>
        <w:t>，完善防扬散、防流失、防渗漏等设施，制定整治方案并有序实施</w:t>
      </w:r>
      <w:bookmarkEnd w:id="424"/>
      <w:bookmarkEnd w:id="425"/>
      <w:r>
        <w:rPr>
          <w:rFonts w:ascii="Times New Roman" w:hAnsi="Times New Roman" w:eastAsia="仿宋" w:cs="Times New Roman"/>
          <w:color w:val="auto"/>
          <w:sz w:val="28"/>
          <w:szCs w:val="28"/>
          <w:lang w:eastAsia="zh-CN"/>
        </w:rPr>
        <w:t>。</w:t>
      </w:r>
    </w:p>
    <w:p w14:paraId="1DEF02AC">
      <w:pPr>
        <w:pStyle w:val="3"/>
        <w:keepNext w:val="0"/>
        <w:keepLines w:val="0"/>
        <w:widowControl w:val="0"/>
        <w:rPr>
          <w:rFonts w:ascii="Times New Roman" w:hAnsi="Times New Roman" w:cs="Times New Roman"/>
          <w:color w:val="auto"/>
          <w:lang w:eastAsia="zh-CN"/>
        </w:rPr>
      </w:pPr>
      <w:bookmarkStart w:id="461" w:name="bookmark58"/>
      <w:bookmarkEnd w:id="461"/>
      <w:bookmarkStart w:id="462" w:name="bookmark57"/>
      <w:bookmarkEnd w:id="462"/>
      <w:bookmarkStart w:id="463" w:name="_Toc183187277"/>
      <w:bookmarkStart w:id="464" w:name="OLE_LINK341"/>
      <w:bookmarkStart w:id="465" w:name="OLE_LINK342"/>
      <w:r>
        <w:rPr>
          <w:rFonts w:ascii="Times New Roman" w:hAnsi="Times New Roman" w:cs="Times New Roman"/>
          <w:color w:val="auto"/>
          <w:lang w:eastAsia="zh-CN"/>
        </w:rPr>
        <w:t>五、加强生态环境风险防范</w:t>
      </w:r>
      <w:bookmarkEnd w:id="463"/>
    </w:p>
    <w:bookmarkEnd w:id="464"/>
    <w:bookmarkEnd w:id="465"/>
    <w:p w14:paraId="5E7C5F7B">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66" w:name="OLE_LINK349"/>
      <w:bookmarkStart w:id="467" w:name="_Toc183187278"/>
      <w:bookmarkStart w:id="468" w:name="OLE_LINK424"/>
      <w:bookmarkStart w:id="469" w:name="OLE_LINK425"/>
      <w:bookmarkStart w:id="470" w:name="OLE_LINK426"/>
      <w:r>
        <w:rPr>
          <w:rFonts w:ascii="Times New Roman" w:hAnsi="Times New Roman" w:eastAsia="仿宋" w:cs="Times New Roman"/>
          <w:b/>
          <w:bCs/>
          <w:color w:val="auto"/>
          <w:spacing w:val="-2"/>
          <w:sz w:val="28"/>
          <w:szCs w:val="28"/>
          <w:lang w:eastAsia="zh-CN"/>
        </w:rPr>
        <w:t>（一）制定环境风险联防联控机制</w:t>
      </w:r>
      <w:bookmarkEnd w:id="466"/>
      <w:bookmarkEnd w:id="467"/>
    </w:p>
    <w:p w14:paraId="6467E7FE">
      <w:pPr>
        <w:widowControl w:val="0"/>
        <w:spacing w:line="560" w:lineRule="exact"/>
        <w:ind w:firstLine="557"/>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健全环境风险防范制度与突发环境事件应急预案，建立健全应急管理体系和协调机制；翁牛特旗生态环境部门应尽快建立应急预案网络备案系统，对企业应急预案、风险评估、风险隐患排查、应急演练进行全过程管理备案。到2025年，建成突发环境事件风险评估及应急预案管理平台。强化生态环境、卫健、消防、水利等多部门的监控预警、信息通报、处置措施、应急资源等衔接与联动；开展突发环境事件应急演练，妥善处置突发环境事件，完善突发环境事件处置和损害赔偿恢复机制，将有效防范和妥善应对重大以上突发环境事件纳入环境保护目标责任制。</w:t>
      </w:r>
    </w:p>
    <w:p w14:paraId="5D19B630">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71" w:name="_Toc183187279"/>
      <w:r>
        <w:rPr>
          <w:rFonts w:ascii="Times New Roman" w:hAnsi="Times New Roman" w:eastAsia="仿宋" w:cs="Times New Roman"/>
          <w:b/>
          <w:bCs/>
          <w:color w:val="auto"/>
          <w:spacing w:val="-2"/>
          <w:sz w:val="28"/>
          <w:szCs w:val="28"/>
          <w:lang w:eastAsia="zh-CN"/>
        </w:rPr>
        <w:t>（二）不断加强环境风险应急能力建设</w:t>
      </w:r>
      <w:bookmarkEnd w:id="471"/>
    </w:p>
    <w:p w14:paraId="3E6F2767">
      <w:pPr>
        <w:widowControl w:val="0"/>
        <w:spacing w:line="560" w:lineRule="exact"/>
        <w:ind w:firstLine="557"/>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强化自身能力建设，增加应急资金投入，建立应急物资保障制度，配备必要的环境应急监测、处置设备和应急救援物资。组织好环境应急救援物资紧急生产、储备调拨和紧急配送工作，保障支援突发环境事件应急处置和环境恢复治理工作的需要。积极补足人员队伍和技术装备，有效整合企业、社会应急资源，有效提升监测、预测、处置等能力，精准支撑专业化应急需求。</w:t>
      </w:r>
    </w:p>
    <w:p w14:paraId="0FCD127B">
      <w:pPr>
        <w:spacing w:line="560" w:lineRule="exact"/>
        <w:ind w:firstLine="557"/>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加强环境应急物资储备信息的动态管理。加强环境应急管理和救援处置队伍和专家组建设，提高突发环境事件应急救援水平。完善突发环境事件预警体系，健全环境风险防控队伍。加强应急队伍培训和实战演练，开展相关培训，提高污染处置专业性加强突发环境事件应急演练，进一步提升应急处置能力和水平。</w:t>
      </w:r>
      <w:bookmarkStart w:id="472" w:name="bookmark70"/>
      <w:bookmarkEnd w:id="472"/>
      <w:bookmarkStart w:id="473" w:name="bookmark61"/>
      <w:bookmarkEnd w:id="473"/>
      <w:bookmarkStart w:id="474" w:name="bookmark62"/>
      <w:bookmarkEnd w:id="474"/>
      <w:bookmarkStart w:id="475" w:name="bookmark69"/>
      <w:bookmarkEnd w:id="475"/>
      <w:r>
        <w:rPr>
          <w:rFonts w:ascii="Times New Roman" w:hAnsi="Times New Roman" w:eastAsia="仿宋" w:cs="Times New Roman"/>
          <w:color w:val="auto"/>
          <w:spacing w:val="-5"/>
          <w:sz w:val="28"/>
          <w:szCs w:val="28"/>
          <w:lang w:eastAsia="zh-CN"/>
        </w:rPr>
        <w:t>到2025年，全旗突发环境事件应急管理机制不断完善。</w:t>
      </w:r>
      <w:bookmarkEnd w:id="468"/>
      <w:bookmarkEnd w:id="469"/>
      <w:bookmarkEnd w:id="470"/>
    </w:p>
    <w:p w14:paraId="12B08C76">
      <w:pPr>
        <w:pStyle w:val="3"/>
        <w:widowControl w:val="0"/>
        <w:rPr>
          <w:rFonts w:ascii="Times New Roman" w:hAnsi="Times New Roman" w:cs="Times New Roman"/>
          <w:color w:val="auto"/>
          <w:lang w:eastAsia="zh-CN"/>
        </w:rPr>
      </w:pPr>
      <w:bookmarkStart w:id="476" w:name="_Toc183187280"/>
      <w:r>
        <w:rPr>
          <w:rFonts w:ascii="Times New Roman" w:hAnsi="Times New Roman" w:cs="Times New Roman"/>
          <w:color w:val="auto"/>
          <w:lang w:eastAsia="zh-CN"/>
        </w:rPr>
        <w:t>六、积极应对气候变化</w:t>
      </w:r>
      <w:bookmarkEnd w:id="476"/>
    </w:p>
    <w:p w14:paraId="271DB12C">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77" w:name="_Toc183187281"/>
      <w:r>
        <w:rPr>
          <w:rFonts w:ascii="Times New Roman" w:hAnsi="Times New Roman" w:eastAsia="仿宋" w:cs="Times New Roman"/>
          <w:b/>
          <w:bCs/>
          <w:color w:val="auto"/>
          <w:spacing w:val="-2"/>
          <w:sz w:val="28"/>
          <w:szCs w:val="28"/>
          <w:lang w:eastAsia="zh-CN"/>
        </w:rPr>
        <w:t>（一）推动重点领域碳达峰</w:t>
      </w:r>
      <w:bookmarkEnd w:id="477"/>
    </w:p>
    <w:p w14:paraId="4E26ED70">
      <w:pPr>
        <w:spacing w:line="560" w:lineRule="exact"/>
        <w:ind w:firstLine="562" w:firstLineChars="200"/>
        <w:jc w:val="both"/>
        <w:rPr>
          <w:rFonts w:ascii="Times New Roman" w:hAnsi="Times New Roman" w:eastAsia="仿宋" w:cs="Times New Roman"/>
          <w:snapToGrid/>
          <w:color w:val="auto"/>
          <w:sz w:val="28"/>
          <w:szCs w:val="28"/>
          <w:lang w:eastAsia="zh-CN"/>
        </w:rPr>
      </w:pPr>
      <w:r>
        <w:rPr>
          <w:rFonts w:ascii="Times New Roman" w:hAnsi="Times New Roman" w:eastAsia="仿宋" w:cs="Times New Roman"/>
          <w:b/>
          <w:snapToGrid/>
          <w:sz w:val="28"/>
          <w:szCs w:val="28"/>
          <w:lang w:eastAsia="zh-CN"/>
        </w:rPr>
        <w:t>积极推动企业减污降碳。</w:t>
      </w:r>
      <w:r>
        <w:rPr>
          <w:rFonts w:ascii="Times New Roman" w:hAnsi="Times New Roman" w:eastAsia="仿宋" w:cs="Times New Roman"/>
          <w:snapToGrid/>
          <w:sz w:val="28"/>
          <w:szCs w:val="28"/>
          <w:lang w:eastAsia="zh-CN"/>
        </w:rPr>
        <w:t>实施碳排放总量和强度“双控”，将节能降碳贯穿于经济社会发展全过程、各领域，在火力发电、化学原料</w:t>
      </w:r>
      <w:r>
        <w:rPr>
          <w:rFonts w:ascii="Times New Roman" w:hAnsi="Times New Roman" w:eastAsia="仿宋" w:cs="Times New Roman"/>
          <w:snapToGrid/>
          <w:color w:val="auto"/>
          <w:sz w:val="28"/>
          <w:szCs w:val="28"/>
          <w:lang w:eastAsia="zh-CN"/>
        </w:rPr>
        <w:t>及化学制品制造业等能耗和碳排放较高的传统工业领域，严控高耗能、高排放新增项目审批，对新建项目推行碳排放等量或减量置换。以火力发电、热力生产和供应、建材、化工等行业为重点，加强生态化链式设计，推广褐煤提水、废水全部回收利用、污染物一体化脱除等创新技术，实现污染物超净排放，鼓励应用碳捕捉、碳封存等前沿科技。全面推进清洁生产改造，打造绿色产业、绿色企业、绿色园区，控制工业温室气体排放。</w:t>
      </w:r>
    </w:p>
    <w:p w14:paraId="45943D09">
      <w:pPr>
        <w:spacing w:line="560" w:lineRule="exact"/>
        <w:ind w:firstLine="562" w:firstLineChars="200"/>
        <w:jc w:val="both"/>
        <w:rPr>
          <w:rFonts w:ascii="Times New Roman" w:hAnsi="Times New Roman" w:eastAsia="仿宋" w:cs="Times New Roman"/>
          <w:snapToGrid/>
          <w:color w:val="auto"/>
          <w:sz w:val="28"/>
          <w:szCs w:val="28"/>
          <w:lang w:eastAsia="zh-CN"/>
        </w:rPr>
      </w:pPr>
      <w:r>
        <w:rPr>
          <w:rFonts w:ascii="Times New Roman" w:hAnsi="Times New Roman" w:eastAsia="仿宋" w:cs="Times New Roman"/>
          <w:b/>
          <w:snapToGrid/>
          <w:color w:val="auto"/>
          <w:sz w:val="28"/>
          <w:szCs w:val="28"/>
          <w:lang w:eastAsia="zh-CN"/>
        </w:rPr>
        <w:t>打造绿色低碳建筑体系。</w:t>
      </w:r>
      <w:r>
        <w:rPr>
          <w:rFonts w:ascii="Times New Roman" w:hAnsi="Times New Roman" w:eastAsia="仿宋" w:cs="Times New Roman"/>
          <w:snapToGrid/>
          <w:color w:val="auto"/>
          <w:sz w:val="28"/>
          <w:szCs w:val="28"/>
          <w:lang w:eastAsia="zh-CN"/>
        </w:rPr>
        <w:t>大力推广新建绿色建筑，推进既有建筑节能改造，强化公共建筑用能监测和低碳运营管理。推进低碳社区创建活动，到2025年，新建绿色建筑比例达到100%。</w:t>
      </w:r>
    </w:p>
    <w:p w14:paraId="291C9F08">
      <w:pPr>
        <w:widowControl w:val="0"/>
        <w:spacing w:line="560" w:lineRule="exact"/>
        <w:ind w:firstLine="554" w:firstLineChars="200"/>
        <w:jc w:val="both"/>
        <w:outlineLvl w:val="2"/>
        <w:rPr>
          <w:rFonts w:ascii="Times New Roman" w:hAnsi="Times New Roman" w:eastAsia="仿宋" w:cs="Times New Roman"/>
          <w:b/>
          <w:bCs/>
          <w:snapToGrid/>
          <w:color w:val="auto"/>
          <w:spacing w:val="-2"/>
          <w:sz w:val="28"/>
          <w:szCs w:val="28"/>
          <w:lang w:eastAsia="zh-CN"/>
        </w:rPr>
      </w:pPr>
      <w:bookmarkStart w:id="478" w:name="_Toc183187282"/>
      <w:bookmarkStart w:id="479" w:name="OLE_LINK102"/>
      <w:bookmarkStart w:id="480" w:name="OLE_LINK101"/>
      <w:r>
        <w:rPr>
          <w:rFonts w:ascii="Times New Roman" w:hAnsi="Times New Roman" w:eastAsia="仿宋" w:cs="Times New Roman"/>
          <w:b/>
          <w:bCs/>
          <w:color w:val="auto"/>
          <w:spacing w:val="-2"/>
          <w:sz w:val="28"/>
          <w:szCs w:val="28"/>
          <w:lang w:eastAsia="zh-CN"/>
        </w:rPr>
        <w:t>（二）实施生态补偿和碳汇交易</w:t>
      </w:r>
      <w:bookmarkEnd w:id="478"/>
    </w:p>
    <w:bookmarkEnd w:id="479"/>
    <w:bookmarkEnd w:id="480"/>
    <w:p w14:paraId="34EDAD4E">
      <w:pPr>
        <w:spacing w:line="560" w:lineRule="exact"/>
        <w:ind w:firstLine="540" w:firstLineChars="200"/>
        <w:jc w:val="both"/>
        <w:rPr>
          <w:rFonts w:ascii="Times New Roman" w:hAnsi="Times New Roman" w:eastAsia="仿宋" w:cs="Times New Roman"/>
          <w:sz w:val="28"/>
          <w:szCs w:val="28"/>
          <w:lang w:eastAsia="zh-CN"/>
        </w:rPr>
      </w:pPr>
      <w:r>
        <w:rPr>
          <w:rFonts w:ascii="Times New Roman" w:hAnsi="Times New Roman" w:eastAsia="仿宋" w:cs="Times New Roman"/>
          <w:color w:val="auto"/>
          <w:spacing w:val="-5"/>
          <w:sz w:val="28"/>
          <w:szCs w:val="28"/>
          <w:lang w:eastAsia="zh-CN"/>
        </w:rPr>
        <w:t>以自然保护地和生物多样保护为出发点，深入推进对于重点生态功能区、重要水系源头区、自然保护地、生态保护红线等生态功能重要区域的转移支付力度；重点以西拉沐沦河、老哈河、羊肠子河、苇塘河、少郎河、勃隆克及海拉苏沙漠公园、松树山自然保护区、西拉沐沦翁牛特旗段湿地公园、翁牛特地质公园等生态空间为抓手，鼓励和支持社会资本进入生态补偿领域，探索市场化生态补偿模式。构建科学的碳汇交易模式和制度体系，建立合理的优化方案和利益补偿机制，保障区域粮食安全和生态安全，促进固碳增效和绿色发展</w:t>
      </w:r>
      <w:r>
        <w:rPr>
          <w:rFonts w:ascii="Times New Roman" w:hAnsi="Times New Roman" w:eastAsia="仿宋" w:cs="Times New Roman"/>
          <w:snapToGrid/>
          <w:color w:val="auto"/>
          <w:sz w:val="28"/>
          <w:szCs w:val="28"/>
          <w:lang w:eastAsia="zh-CN"/>
        </w:rPr>
        <w:t>。</w:t>
      </w:r>
    </w:p>
    <w:p w14:paraId="239127CC">
      <w:pPr>
        <w:spacing w:line="560" w:lineRule="exact"/>
        <w:ind w:firstLine="557"/>
        <w:jc w:val="both"/>
        <w:rPr>
          <w:rFonts w:ascii="Times New Roman" w:hAnsi="Times New Roman" w:eastAsia="仿宋" w:cs="Times New Roman"/>
          <w:color w:val="auto"/>
          <w:spacing w:val="-5"/>
          <w:sz w:val="28"/>
          <w:szCs w:val="28"/>
          <w:shd w:val="clear" w:color="auto" w:fill="FFC000"/>
          <w:lang w:eastAsia="zh-CN"/>
        </w:rPr>
      </w:pPr>
    </w:p>
    <w:p w14:paraId="34CBCD95">
      <w:pPr>
        <w:pStyle w:val="2"/>
        <w:jc w:val="center"/>
        <w:rPr>
          <w:rFonts w:hint="default" w:ascii="Times New Roman" w:hAnsi="Times New Roman"/>
          <w:color w:val="auto"/>
        </w:rPr>
        <w:sectPr>
          <w:type w:val="nextColumn"/>
          <w:pgSz w:w="11907" w:h="16839"/>
          <w:pgMar w:top="1440" w:right="1797" w:bottom="1440" w:left="1797" w:header="1020" w:footer="1020" w:gutter="0"/>
          <w:cols w:space="720" w:num="1"/>
          <w:docGrid w:linePitch="286" w:charSpace="0"/>
        </w:sectPr>
      </w:pPr>
      <w:bookmarkStart w:id="481" w:name="bookmark59"/>
      <w:bookmarkEnd w:id="481"/>
      <w:bookmarkStart w:id="482" w:name="bookmark60"/>
      <w:bookmarkEnd w:id="482"/>
    </w:p>
    <w:p w14:paraId="3AF34E64">
      <w:pPr>
        <w:pStyle w:val="2"/>
        <w:jc w:val="center"/>
        <w:rPr>
          <w:rFonts w:hint="default" w:ascii="Times New Roman" w:hAnsi="Times New Roman"/>
          <w:snapToGrid/>
          <w:kern w:val="36"/>
        </w:rPr>
      </w:pPr>
      <w:bookmarkStart w:id="483" w:name="_Toc183187283"/>
      <w:r>
        <w:rPr>
          <w:rFonts w:hint="default" w:ascii="Times New Roman" w:hAnsi="Times New Roman"/>
          <w:kern w:val="36"/>
        </w:rPr>
        <w:t>第五章 目标责任体系建设</w:t>
      </w:r>
      <w:bookmarkEnd w:id="483"/>
    </w:p>
    <w:p w14:paraId="23132F04">
      <w:pPr>
        <w:pStyle w:val="3"/>
        <w:rPr>
          <w:rFonts w:ascii="Times New Roman" w:hAnsi="Times New Roman" w:eastAsia="仿宋_GB2312" w:cs="Times New Roman"/>
          <w:sz w:val="31"/>
          <w:szCs w:val="31"/>
          <w:lang w:eastAsia="zh-CN"/>
        </w:rPr>
      </w:pPr>
      <w:bookmarkStart w:id="484" w:name="_Toc183187284"/>
      <w:r>
        <w:rPr>
          <w:rFonts w:ascii="Times New Roman" w:hAnsi="Times New Roman" w:cs="Times New Roman"/>
          <w:lang w:eastAsia="zh-CN"/>
        </w:rPr>
        <w:t>一、健全生态环境保护制度</w:t>
      </w:r>
      <w:bookmarkEnd w:id="484"/>
    </w:p>
    <w:p w14:paraId="31FF7A61">
      <w:pPr>
        <w:spacing w:line="560" w:lineRule="exact"/>
        <w:ind w:firstLine="554" w:firstLineChars="200"/>
        <w:jc w:val="both"/>
        <w:outlineLvl w:val="2"/>
        <w:rPr>
          <w:rFonts w:ascii="Times New Roman" w:hAnsi="Times New Roman" w:eastAsia="仿宋" w:cs="Times New Roman"/>
          <w:b/>
          <w:bCs/>
          <w:spacing w:val="-2"/>
          <w:sz w:val="28"/>
          <w:szCs w:val="28"/>
          <w:lang w:eastAsia="zh-CN"/>
        </w:rPr>
      </w:pPr>
      <w:bookmarkStart w:id="485" w:name="_Toc183187285"/>
      <w:r>
        <w:rPr>
          <w:rFonts w:ascii="Times New Roman" w:hAnsi="Times New Roman" w:eastAsia="仿宋" w:cs="Times New Roman"/>
          <w:b/>
          <w:bCs/>
          <w:spacing w:val="-2"/>
          <w:sz w:val="28"/>
          <w:szCs w:val="28"/>
          <w:lang w:eastAsia="zh-CN"/>
        </w:rPr>
        <w:t>（一）强化生态环境治理、保护等制度</w:t>
      </w:r>
      <w:bookmarkEnd w:id="485"/>
    </w:p>
    <w:p w14:paraId="3106B17B">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健全环境治理责任体系。</w:t>
      </w:r>
      <w:r>
        <w:rPr>
          <w:rFonts w:ascii="Times New Roman" w:hAnsi="Times New Roman" w:eastAsia="仿宋" w:cs="Times New Roman"/>
          <w:sz w:val="28"/>
          <w:szCs w:val="28"/>
          <w:lang w:eastAsia="zh-CN"/>
        </w:rPr>
        <w:t>坚持党政同责、一岗双责，完善绿色导向的领导责任体系和绩效考核机制，根据翁牛特旗2023年度绩效考核指标，翁牛特旗生态文明建设工作占党政实绩考核的比例20%。实施开展党政领导干部生态环境损害责任追究制度，2024年印发《中共翁牛特旗委办公室 翁牛特旗人民政府办公室关于印发翁牛特旗各级领导干部生态环境损害责任追究实施细则(试行)的通知》（翁党办发[2024]2号）。深入实施领导干部自然资源资产离任审计制度，建立健全“河湖长制”长效机制。完善环境保护、节能减排约束性指标管理。实施生态环境损害赔偿制度改革，严格落实企业污染治理、损害赔偿和生态修复责任，落实生产者责任延伸制度。健全环境决策公众参与机制，完善监督举报、环境公益诉讼、环保设施公众开放等机制，鼓励和引导环保社会组织和公众参与环境污染治理监督。</w:t>
      </w:r>
    </w:p>
    <w:p w14:paraId="68D39825">
      <w:pPr>
        <w:pStyle w:val="20"/>
        <w:widowControl w:val="0"/>
        <w:spacing w:line="560" w:lineRule="exact"/>
        <w:ind w:firstLine="562" w:firstLineChars="200"/>
        <w:jc w:val="both"/>
        <w:rPr>
          <w:rFonts w:ascii="Times New Roman" w:hAnsi="Times New Roman" w:cs="Times New Roman"/>
          <w:szCs w:val="24"/>
          <w:lang w:eastAsia="zh-CN"/>
        </w:rPr>
      </w:pPr>
      <w:r>
        <w:rPr>
          <w:rFonts w:ascii="Times New Roman" w:hAnsi="Times New Roman" w:eastAsia="仿宋" w:cs="Times New Roman"/>
          <w:b/>
          <w:sz w:val="28"/>
          <w:szCs w:val="28"/>
          <w:lang w:eastAsia="zh-CN"/>
        </w:rPr>
        <w:t>强化环境保护法制机制</w:t>
      </w:r>
      <w:r>
        <w:rPr>
          <w:rFonts w:ascii="Times New Roman" w:hAnsi="Times New Roman" w:eastAsia="仿宋" w:cs="Times New Roman"/>
          <w:sz w:val="28"/>
          <w:szCs w:val="28"/>
          <w:lang w:eastAsia="zh-CN"/>
        </w:rPr>
        <w:t>。全面贯彻国家主体功能区环境政策，规范环评审批程序，避免环境容量接近或超过承载能力，充分发挥规划环评源头预防作用。严格执行《中华人民共和国环境保护法》及四个配套办法，依法加强环境执法力度，推进联合执法、专项执法，强化执法监督机制和责任追究。加强生态环境部门与公安机关、检察院和法院的协调配合，建立健全环保行政执法与刑事司法联动机制，重拳打击偷排偷放、非法处置危险废物、不正常使用污染防治设施等环境违法行为。健全完善环境监督管理制度，推动建立生态资源补偿制度，完善生态文明机制。</w:t>
      </w:r>
    </w:p>
    <w:p w14:paraId="1880A2D4">
      <w:pPr>
        <w:pStyle w:val="20"/>
        <w:widowControl w:val="0"/>
        <w:spacing w:line="560" w:lineRule="exact"/>
        <w:ind w:firstLine="560" w:firstLineChars="200"/>
        <w:jc w:val="both"/>
        <w:rPr>
          <w:rFonts w:ascii="Times New Roman" w:hAnsi="Times New Roman" w:cs="Times New Roman"/>
          <w:lang w:eastAsia="zh-CN"/>
        </w:rPr>
      </w:pPr>
      <w:r>
        <w:rPr>
          <w:rFonts w:ascii="Times New Roman" w:hAnsi="Times New Roman" w:eastAsia="仿宋" w:cs="Times New Roman"/>
          <w:sz w:val="28"/>
          <w:szCs w:val="28"/>
          <w:lang w:eastAsia="zh-CN"/>
        </w:rPr>
        <w:t>依法加强环境监管执法，坚决不搞环保“一刀切”，落实“正面清单”和“双随机、一公开”制度，加大环保法律法规普法和执行力度，持续加强行政执法与刑事司法部门联动机制，保持环境执法高压力度。全面推行“三项制度”，促进严格规范公正文明执法，切实保障群众合法环境权益。加强工业污染源全面达标排放监督，继续加强重点排污单位污染物排放监管。落实“谁执法、谁普法”要求，引导企业自觉遵守环保法律法规。</w:t>
      </w:r>
    </w:p>
    <w:p w14:paraId="19F35B43">
      <w:pPr>
        <w:pStyle w:val="20"/>
        <w:widowControl w:val="0"/>
        <w:spacing w:line="560" w:lineRule="exact"/>
        <w:ind w:firstLine="562" w:firstLineChars="200"/>
        <w:jc w:val="both"/>
        <w:rPr>
          <w:rFonts w:ascii="Times New Roman" w:hAnsi="Times New Roman" w:cs="Times New Roman"/>
          <w:lang w:eastAsia="zh-CN"/>
        </w:rPr>
      </w:pPr>
      <w:r>
        <w:rPr>
          <w:rFonts w:ascii="Times New Roman" w:hAnsi="Times New Roman" w:eastAsia="仿宋" w:cs="Times New Roman"/>
          <w:b/>
          <w:sz w:val="28"/>
          <w:szCs w:val="28"/>
          <w:lang w:eastAsia="zh-CN"/>
        </w:rPr>
        <w:t>完善生态环境监测体系。</w:t>
      </w:r>
      <w:r>
        <w:rPr>
          <w:rFonts w:ascii="Times New Roman" w:hAnsi="Times New Roman" w:eastAsia="仿宋" w:cs="Times New Roman"/>
          <w:sz w:val="28"/>
          <w:szCs w:val="28"/>
          <w:lang w:eastAsia="zh-CN"/>
        </w:rPr>
        <w:t>持续完善环境质量监测网络。深化城镇及重点工业园区空气质量监测，增强PM</w:t>
      </w:r>
      <w:r>
        <w:rPr>
          <w:rFonts w:ascii="Times New Roman" w:hAnsi="Times New Roman" w:eastAsia="仿宋" w:cs="Times New Roman"/>
          <w:sz w:val="28"/>
          <w:szCs w:val="28"/>
          <w:vertAlign w:val="subscript"/>
          <w:lang w:eastAsia="zh-CN"/>
        </w:rPr>
        <w:t>2.5</w:t>
      </w:r>
      <w:r>
        <w:rPr>
          <w:rFonts w:ascii="Times New Roman" w:hAnsi="Times New Roman" w:eastAsia="仿宋" w:cs="Times New Roman"/>
          <w:sz w:val="28"/>
          <w:szCs w:val="28"/>
          <w:lang w:eastAsia="zh-CN"/>
        </w:rPr>
        <w:t>与O</w:t>
      </w:r>
      <w:r>
        <w:rPr>
          <w:rFonts w:ascii="Times New Roman" w:hAnsi="Times New Roman" w:eastAsia="仿宋" w:cs="Times New Roman"/>
          <w:sz w:val="28"/>
          <w:szCs w:val="28"/>
          <w:vertAlign w:val="subscript"/>
          <w:lang w:eastAsia="zh-CN"/>
        </w:rPr>
        <w:t>3</w:t>
      </w:r>
      <w:r>
        <w:rPr>
          <w:rFonts w:ascii="Times New Roman" w:hAnsi="Times New Roman" w:eastAsia="仿宋" w:cs="Times New Roman"/>
          <w:sz w:val="28"/>
          <w:szCs w:val="28"/>
          <w:lang w:eastAsia="zh-CN"/>
        </w:rPr>
        <w:t>协同控制监测能力，完善大气网格化监测监管。强化土壤污染重点监管单位、污水集中处理设施、固废处置场地等周边土壤环境监测。完善地下水环境监测网，整合建设项目环评要求设置的地下水污染跟踪监测井、地下水型饮用水源开采井、土壤污染状况详查监测井、地下水基础环境状况调查评估监测井、水污染防治法要求的污染源地下水水质监测井等，加强现有地下水环境监测井的运行维护和管理，开展地下水水质监测。强化农业农村环境质量监测。持续开展农村环境空气质量监测、“千吨万人”水源地水质监测、土壤监测、日处理能力20吨及以上农村污水处理设施排污口监测。强化声环境监测体系，推进实施乌丹城区功能区噪声自动监测，开展乌丹城区声环境质量常规监测。</w:t>
      </w:r>
    </w:p>
    <w:p w14:paraId="2800CE51">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加强污染源监测体系建设。</w:t>
      </w:r>
      <w:r>
        <w:rPr>
          <w:rFonts w:ascii="Times New Roman" w:hAnsi="Times New Roman" w:eastAsia="仿宋" w:cs="Times New Roman"/>
          <w:sz w:val="28"/>
          <w:szCs w:val="28"/>
          <w:lang w:eastAsia="zh-CN"/>
        </w:rPr>
        <w:t>强化固定源监测，重点提升污染源自动监控水平，推动VOCs、总磷、总氮、重金属等重点排污单位安装自动监测设备。规范排污单位和工业园区污染源自行监测监控，完善污染源执法监测机制。严格落实入河排污口监测，建立入河排污口名录，开展入河排污口溯源分析。逐步实施重点行业企业挥发性有机物等特征污染物在线监控，推进大型施工工地建筑扬尘视频监控系统的建设。</w:t>
      </w:r>
    </w:p>
    <w:p w14:paraId="41F7BD03">
      <w:pPr>
        <w:pStyle w:val="20"/>
        <w:widowControl w:val="0"/>
        <w:spacing w:line="560" w:lineRule="exact"/>
        <w:ind w:firstLine="562" w:firstLineChars="200"/>
        <w:jc w:val="both"/>
        <w:rPr>
          <w:rFonts w:ascii="Times New Roman" w:hAnsi="Times New Roman" w:cs="Times New Roman"/>
          <w:szCs w:val="24"/>
          <w:lang w:eastAsia="zh-CN"/>
        </w:rPr>
      </w:pPr>
      <w:r>
        <w:rPr>
          <w:rFonts w:ascii="Times New Roman" w:hAnsi="Times New Roman" w:eastAsia="仿宋" w:cs="Times New Roman"/>
          <w:b/>
          <w:sz w:val="28"/>
          <w:szCs w:val="28"/>
          <w:lang w:eastAsia="zh-CN"/>
        </w:rPr>
        <w:t>强化应急和专项监测。</w:t>
      </w:r>
      <w:r>
        <w:rPr>
          <w:rFonts w:ascii="Times New Roman" w:hAnsi="Times New Roman" w:eastAsia="仿宋" w:cs="Times New Roman"/>
          <w:sz w:val="28"/>
          <w:szCs w:val="28"/>
          <w:lang w:eastAsia="zh-CN"/>
        </w:rPr>
        <w:t>建立因地制宜、统一指挥、分级响应、上下联动、平战结合、科学应对的应急监测体系。建立社会化应急监测参与机制，实现环境应急监测的统一指挥协调、应急监测资源的统一调动调配、监测数据的统一分析管理。夯实车辆、卫星与无人机为主体的快速反应力量，推进无人机、走航车等先进设备或技术在环境应急事件的应用，搭建监测监控大数据平台、网络预警监测平台，提升应急监测的智能化水平。建立训练有素的应急监测队伍，定期开展应急监测演练，增强实战能力。</w:t>
      </w:r>
    </w:p>
    <w:p w14:paraId="581AEFC9">
      <w:pPr>
        <w:spacing w:line="560" w:lineRule="exact"/>
        <w:ind w:firstLine="554" w:firstLineChars="200"/>
        <w:jc w:val="both"/>
        <w:outlineLvl w:val="2"/>
        <w:rPr>
          <w:rFonts w:ascii="Times New Roman" w:hAnsi="Times New Roman" w:eastAsia="仿宋" w:cs="Times New Roman"/>
          <w:b/>
          <w:bCs/>
          <w:spacing w:val="-2"/>
          <w:sz w:val="28"/>
          <w:szCs w:val="28"/>
          <w:lang w:eastAsia="zh-CN"/>
        </w:rPr>
      </w:pPr>
      <w:bookmarkStart w:id="486" w:name="_Toc183187286"/>
      <w:r>
        <w:rPr>
          <w:rFonts w:ascii="Times New Roman" w:hAnsi="Times New Roman" w:eastAsia="仿宋" w:cs="Times New Roman"/>
          <w:b/>
          <w:bCs/>
          <w:spacing w:val="-2"/>
          <w:sz w:val="28"/>
          <w:szCs w:val="28"/>
          <w:lang w:eastAsia="zh-CN"/>
        </w:rPr>
        <w:t>（二）构建以排污许可制为核心的固定污染源监管制度体系</w:t>
      </w:r>
      <w:bookmarkEnd w:id="486"/>
    </w:p>
    <w:p w14:paraId="1C6DC7BD">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全面实行排污许可制度，强化企业持证排污和依证排污。以立行立改为准则，全面做好环保督察反馈问题整改，确保严格按照整改要求整改到位。</w:t>
      </w:r>
    </w:p>
    <w:p w14:paraId="3A946FB5">
      <w:pPr>
        <w:pStyle w:val="20"/>
        <w:widowControl w:val="0"/>
        <w:spacing w:line="560" w:lineRule="exact"/>
        <w:ind w:firstLine="560" w:firstLineChars="200"/>
        <w:jc w:val="both"/>
        <w:rPr>
          <w:rFonts w:ascii="Times New Roman" w:hAnsi="Times New Roman" w:cs="Times New Roman"/>
          <w:szCs w:val="24"/>
          <w:lang w:eastAsia="zh-CN"/>
        </w:rPr>
      </w:pPr>
      <w:r>
        <w:rPr>
          <w:rFonts w:ascii="Times New Roman" w:hAnsi="Times New Roman" w:eastAsia="仿宋" w:cs="Times New Roman"/>
          <w:sz w:val="28"/>
          <w:szCs w:val="28"/>
          <w:lang w:eastAsia="zh-CN"/>
        </w:rPr>
        <w:t>按照国家排污许可制度改革要求，严格排污许可管理，发挥排污许可制度的核心作用，完善排污许可证管理信息平台，实行排污许可“一证式”管理，严格限定各类企业、单位排放污染物的浓度和总量，禁止无证排污及超标、超量排污。将排污许可与环境影响评价、总量控制、排污权交易、节能减排、环境统计、排污口设置等管理制度相融合，实现从污染预防到污染治理的全过程监管。</w:t>
      </w:r>
    </w:p>
    <w:p w14:paraId="6B8E489F">
      <w:pPr>
        <w:spacing w:line="560" w:lineRule="exact"/>
        <w:ind w:firstLine="554" w:firstLineChars="200"/>
        <w:jc w:val="both"/>
        <w:outlineLvl w:val="2"/>
        <w:rPr>
          <w:rFonts w:ascii="Times New Roman" w:hAnsi="Times New Roman" w:eastAsia="仿宋" w:cs="Times New Roman"/>
          <w:b/>
          <w:bCs/>
          <w:spacing w:val="-2"/>
          <w:sz w:val="28"/>
          <w:szCs w:val="28"/>
          <w:lang w:eastAsia="zh-CN"/>
        </w:rPr>
      </w:pPr>
      <w:bookmarkStart w:id="487" w:name="_Toc183187287"/>
      <w:r>
        <w:rPr>
          <w:rFonts w:ascii="Times New Roman" w:hAnsi="Times New Roman" w:eastAsia="仿宋" w:cs="Times New Roman"/>
          <w:b/>
          <w:bCs/>
          <w:spacing w:val="-2"/>
          <w:sz w:val="28"/>
          <w:szCs w:val="28"/>
          <w:lang w:eastAsia="zh-CN"/>
        </w:rPr>
        <w:t>（三）健全生态环境信息公开制度</w:t>
      </w:r>
      <w:bookmarkEnd w:id="487"/>
    </w:p>
    <w:p w14:paraId="4C84DBBF">
      <w:pPr>
        <w:pStyle w:val="20"/>
        <w:widowControl w:val="0"/>
        <w:spacing w:line="560" w:lineRule="exact"/>
        <w:ind w:firstLine="560" w:firstLineChars="200"/>
        <w:jc w:val="both"/>
        <w:rPr>
          <w:rFonts w:ascii="Times New Roman" w:hAnsi="Times New Roman" w:cs="Times New Roman"/>
          <w:szCs w:val="24"/>
          <w:lang w:eastAsia="zh-CN"/>
        </w:rPr>
      </w:pPr>
      <w:r>
        <w:rPr>
          <w:rFonts w:ascii="Times New Roman" w:hAnsi="Times New Roman" w:eastAsia="仿宋" w:cs="Times New Roman"/>
          <w:sz w:val="28"/>
          <w:szCs w:val="28"/>
          <w:lang w:eastAsia="zh-CN"/>
        </w:rPr>
        <w:t>加大空气、水、土壤、生态环境质量、建设项目环评、污染源监督性监测、环境执法监管、突发环境事件、核安全监管等重点领域生态环境信息主动公开力度。重点排污单位要主动公开污染源自行监测工作开展情况及监测结果，生态环境部门不定期对企业自行监测情况进行监督检查。健全环境新闻发言人制度，完善信息发布、解读及回应机制。优化信息公开平台，畅通公众参与渠道，保障公众知情权、参与权、监督权、举报权。</w:t>
      </w:r>
    </w:p>
    <w:p w14:paraId="1FEEFC17">
      <w:pPr>
        <w:pStyle w:val="3"/>
        <w:rPr>
          <w:rFonts w:ascii="Times New Roman" w:hAnsi="Times New Roman" w:cs="Times New Roman"/>
          <w:lang w:eastAsia="zh-CN"/>
        </w:rPr>
      </w:pPr>
      <w:bookmarkStart w:id="488" w:name="_Toc183187288"/>
      <w:r>
        <w:rPr>
          <w:rFonts w:ascii="Times New Roman" w:hAnsi="Times New Roman" w:cs="Times New Roman"/>
          <w:lang w:eastAsia="zh-CN"/>
        </w:rPr>
        <w:t>二、全面建立资源高效节约利用制度</w:t>
      </w:r>
      <w:bookmarkEnd w:id="488"/>
    </w:p>
    <w:p w14:paraId="2E49BFB2">
      <w:pPr>
        <w:pStyle w:val="20"/>
        <w:widowControl w:val="0"/>
        <w:spacing w:line="560" w:lineRule="exact"/>
        <w:ind w:firstLine="562" w:firstLineChars="200"/>
        <w:jc w:val="both"/>
        <w:rPr>
          <w:rFonts w:ascii="Times New Roman" w:hAnsi="Times New Roman" w:cs="Times New Roman"/>
          <w:lang w:eastAsia="zh-CN"/>
        </w:rPr>
      </w:pPr>
      <w:r>
        <w:rPr>
          <w:rFonts w:ascii="Times New Roman" w:hAnsi="Times New Roman" w:eastAsia="仿宋" w:cs="Times New Roman"/>
          <w:b/>
          <w:sz w:val="28"/>
          <w:szCs w:val="28"/>
          <w:lang w:eastAsia="zh-CN"/>
        </w:rPr>
        <w:t>强化土地资源保障。</w:t>
      </w:r>
      <w:r>
        <w:rPr>
          <w:rFonts w:ascii="Times New Roman" w:hAnsi="Times New Roman" w:eastAsia="仿宋" w:cs="Times New Roman"/>
          <w:sz w:val="28"/>
          <w:szCs w:val="28"/>
          <w:lang w:eastAsia="zh-CN"/>
        </w:rPr>
        <w:t>牢牢把握上级政策，积极向上争取建设用地指标，加大存量建设用地盘活力度，对重大基础设施建设、民生工程、招商引资、乡村振兴等项目用地做到应保尽保。合理安排各类用地，向用地结构调整要空间；走内涵挖潜之路，向城镇低效用地要空间；加大土地复垦力度，向工矿废弃土地要空间。到十四五期末，完成城乡建设用地增减挂钩、工矿废弃地复垦利用、低效建设用地盘活、耕地储备库等项目1万亩以上，推进土地资源节约集约利用。</w:t>
      </w:r>
    </w:p>
    <w:p w14:paraId="5E4BD220">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促进水资源节约集约利用。</w:t>
      </w:r>
      <w:r>
        <w:rPr>
          <w:rFonts w:ascii="Times New Roman" w:hAnsi="Times New Roman" w:eastAsia="仿宋" w:cs="Times New Roman"/>
          <w:sz w:val="28"/>
          <w:szCs w:val="28"/>
          <w:lang w:eastAsia="zh-CN"/>
        </w:rPr>
        <w:t>落实最严格水资源管理制度，建立取用水总量控制指标体系，实行地下水开发总量、水位、用途、水质及机电井数量“五控”制度，守住水资源“三条红线”。大力调整用水结构，坚持“以水定城、以水定产、以水定地、以水定人”原则，持续用力做好水资源评价工作，有序推动地下水动态监测平台建设，建立取用水总量控制指标体系，切实提高水资源利用效率。深化农业水价综合改革，完善用水总量控制、农业阶梯水价形成机制、精准补贴和节水奖励机制。积极发展节水型高效农业，大力推广高标准农田、节水技术、节水设施，推进海拉苏草原灌区等大中型灌区续建配套与节水改造项目建设，逐步减少高耗水作物种植面积。严格执行新上项目水资源论证制度，规范取水用水许可和计划用水，研究制定新建农业园区、养殖业园区等取水许可办法。加强再生水和工业用水循环利用，实施乌丹城区、玉龙工业园区再生水管网工程，建立科学合理定价机制，切实增强水资源供给保障能力。到2025年，农田灌溉水有效利用系数≥0.58，农田亩均灌溉用水量达到188.01m³/亩，万元工业增加值用水量达到51.07m³/万元，非常规水源利用水平达到100%。</w:t>
      </w:r>
    </w:p>
    <w:p w14:paraId="1DC8F3E3">
      <w:pPr>
        <w:pStyle w:val="20"/>
        <w:widowControl w:val="0"/>
        <w:spacing w:line="560" w:lineRule="exact"/>
        <w:ind w:firstLine="562" w:firstLineChars="200"/>
        <w:jc w:val="both"/>
        <w:rPr>
          <w:rFonts w:ascii="Times New Roman" w:hAnsi="Times New Roman" w:cs="Times New Roman"/>
          <w:szCs w:val="24"/>
          <w:lang w:eastAsia="zh-CN"/>
        </w:rPr>
      </w:pPr>
      <w:r>
        <w:rPr>
          <w:rFonts w:ascii="Times New Roman" w:hAnsi="Times New Roman" w:eastAsia="仿宋" w:cs="Times New Roman"/>
          <w:b/>
          <w:sz w:val="28"/>
          <w:szCs w:val="28"/>
          <w:lang w:eastAsia="zh-CN"/>
        </w:rPr>
        <w:t>推动能源和矿产资源高效利用。</w:t>
      </w:r>
      <w:r>
        <w:rPr>
          <w:rFonts w:ascii="Times New Roman" w:hAnsi="Times New Roman" w:eastAsia="仿宋" w:cs="Times New Roman"/>
          <w:sz w:val="28"/>
          <w:szCs w:val="28"/>
          <w:lang w:eastAsia="zh-CN"/>
        </w:rPr>
        <w:t>大幅降低能源、土地消耗强度，以合理的资源消耗支撑经济社会可持续发展。深入贯彻落实能耗双控预算管理制度，加强节能管理和项目审查，严禁高耗能、高排放产业项目低水平重复建设。加强能源资源利用全过程管控，支持节能减碳产业和可再生能源产业发展，逐步提高非化石能源消费比重，力争进入全国清洁能源示范区序列。探索砂石资源“净矿”出让模式，加大矿业权和矿产资源整合力度，规范矿业开发秩序，推进矿山规模化集约化开采。利用市场化方式推进矿山生态修复，全面推进绿色矿山建设，到2025年全旗所有矿山要达到绿色矿山建设标准。全面推行公共建筑能耗管理，鼓励消费者绿色出行、适度消费，推行垃圾分类和减量化、资源化，加快构建废旧物资循环利用体系。</w:t>
      </w:r>
    </w:p>
    <w:p w14:paraId="41411246">
      <w:pPr>
        <w:pStyle w:val="3"/>
        <w:rPr>
          <w:rFonts w:ascii="Times New Roman" w:hAnsi="Times New Roman" w:cs="Times New Roman"/>
          <w:lang w:eastAsia="zh-CN"/>
        </w:rPr>
      </w:pPr>
      <w:bookmarkStart w:id="489" w:name="_Toc183187289"/>
      <w:r>
        <w:rPr>
          <w:rFonts w:ascii="Times New Roman" w:hAnsi="Times New Roman" w:cs="Times New Roman"/>
          <w:lang w:eastAsia="zh-CN"/>
        </w:rPr>
        <w:t>三、健全生态保护补偿制度</w:t>
      </w:r>
      <w:bookmarkEnd w:id="489"/>
    </w:p>
    <w:p w14:paraId="7866D3DA">
      <w:pPr>
        <w:pStyle w:val="20"/>
        <w:widowControl w:val="0"/>
        <w:spacing w:line="56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坚持谁破坏、谁补偿，落实和完善生态环境损害补偿制度，推进森林、草原等重点领域生态补偿全覆盖。通过发展环境污染责任保险，积极推进第三方评估、检测、服务和生态受损地区环境恢复治理，夯实环境损害主体责任。增强全社会生态环境保护法治意识，推进生态环境保护规范化建设。健全生态环境保护行政执法和刑事司法衔接机制，制定完善《翁牛特旗各级党委和政府及有关部门生态环境保护责任清单》，严格执行《领导干部自然资源资产责任审计规定（试行）》等制度。</w:t>
      </w:r>
    </w:p>
    <w:p w14:paraId="1BDA5CE4">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bCs/>
          <w:sz w:val="28"/>
          <w:szCs w:val="28"/>
          <w:lang w:eastAsia="zh-CN"/>
        </w:rPr>
        <w:t>严格落实企业主体责任制。</w:t>
      </w:r>
      <w:r>
        <w:rPr>
          <w:rFonts w:ascii="Times New Roman" w:hAnsi="Times New Roman" w:eastAsia="仿宋" w:cs="Times New Roman"/>
          <w:sz w:val="28"/>
          <w:szCs w:val="28"/>
          <w:lang w:eastAsia="zh-CN"/>
        </w:rPr>
        <w:t>明确企业治污减排、风险防范、资源节约、达标排放、自主监测、信息公开等法律义务。加大对环境违法行为的行政处罚与刑事责任追究，强化生产经营者社会主体责任。健全生态环境领域守信联合激励和失信联合惩戒机制。在实施财政性资金项目安排、招商引资配套优惠政策时，优先考虑诚信市场主体。按照动态评价结果对信用评价“黑名单”企业进行公示，强化监督问责，并针对问题开展整改帮扶。</w:t>
      </w:r>
    </w:p>
    <w:p w14:paraId="232A52B3">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落实生态环境损害赔偿制度。</w:t>
      </w:r>
      <w:r>
        <w:rPr>
          <w:rFonts w:ascii="Times New Roman" w:hAnsi="Times New Roman" w:eastAsia="仿宋" w:cs="Times New Roman"/>
          <w:sz w:val="28"/>
          <w:szCs w:val="28"/>
          <w:lang w:eastAsia="zh-CN"/>
        </w:rPr>
        <w:t>探索建立责任明确、途径畅通、技术规范、保障有力、赔偿到位、修复有效的生态环境损害赔偿和修复制度。聚焦突发生态环境事件，按照“谁损害，谁赔偿”的原则，及时依法依规追究赔偿责任。积极推进生态环境损害鉴定评估，实现依损害程度依法确定赔偿额度。强化生态环境损害赔偿资金执收、使用管理与绩效监控等，按照权责对等原则落实资金监管责任。</w:t>
      </w:r>
    </w:p>
    <w:p w14:paraId="29B35586">
      <w:pPr>
        <w:pStyle w:val="20"/>
        <w:widowControl w:val="0"/>
        <w:spacing w:line="560" w:lineRule="exact"/>
        <w:ind w:firstLine="562" w:firstLineChars="200"/>
        <w:jc w:val="both"/>
        <w:rPr>
          <w:rFonts w:ascii="Times New Roman" w:hAnsi="Times New Roman" w:eastAsia="仿宋" w:cs="Times New Roman"/>
          <w:sz w:val="28"/>
          <w:szCs w:val="28"/>
          <w:lang w:eastAsia="zh-CN"/>
        </w:rPr>
      </w:pPr>
      <w:r>
        <w:rPr>
          <w:rFonts w:ascii="Times New Roman" w:hAnsi="Times New Roman" w:eastAsia="仿宋" w:cs="Times New Roman"/>
          <w:b/>
          <w:sz w:val="28"/>
          <w:szCs w:val="28"/>
          <w:lang w:eastAsia="zh-CN"/>
        </w:rPr>
        <w:t>与生态环境损害赔偿制度衔接</w:t>
      </w:r>
      <w:r>
        <w:rPr>
          <w:rFonts w:ascii="Times New Roman" w:hAnsi="Times New Roman" w:eastAsia="仿宋" w:cs="Times New Roman"/>
          <w:sz w:val="28"/>
          <w:szCs w:val="28"/>
          <w:lang w:eastAsia="zh-CN"/>
        </w:rPr>
        <w:t>，完善生态环境公益诉讼制度。健全举报、听证、舆论和公众监督等制度，支持公众对生态环境保护公共事务进行社会监督。鼓励和支持符合法定条件的环保社会组织依法提起生态环境公益诉讼。健全检察机关提起生态环境公益诉讼制度。</w:t>
      </w:r>
    </w:p>
    <w:p w14:paraId="5FE4CDDE">
      <w:pPr>
        <w:pStyle w:val="2"/>
        <w:jc w:val="center"/>
        <w:rPr>
          <w:rFonts w:hint="default" w:ascii="Times New Roman" w:hAnsi="Times New Roman"/>
          <w:kern w:val="36"/>
        </w:rPr>
        <w:sectPr>
          <w:pgSz w:w="12240" w:h="15840"/>
          <w:pgMar w:top="1440" w:right="1797" w:bottom="1440" w:left="1797" w:header="1020" w:footer="1020" w:gutter="0"/>
          <w:cols w:space="720" w:num="1"/>
          <w:docGrid w:linePitch="286" w:charSpace="0"/>
        </w:sectPr>
      </w:pPr>
    </w:p>
    <w:bookmarkEnd w:id="166"/>
    <w:bookmarkEnd w:id="167"/>
    <w:p w14:paraId="22C232DE">
      <w:pPr>
        <w:pStyle w:val="2"/>
        <w:jc w:val="center"/>
        <w:rPr>
          <w:rFonts w:hint="default" w:ascii="Times New Roman" w:hAnsi="Times New Roman"/>
          <w:color w:val="auto"/>
        </w:rPr>
      </w:pPr>
      <w:bookmarkStart w:id="490" w:name="_Toc183187290"/>
      <w:r>
        <w:rPr>
          <w:rFonts w:hint="default" w:ascii="Times New Roman" w:hAnsi="Times New Roman"/>
          <w:color w:val="auto"/>
        </w:rPr>
        <w:t>第六章 生态经济体系建设</w:t>
      </w:r>
      <w:bookmarkEnd w:id="490"/>
    </w:p>
    <w:p w14:paraId="0F263097">
      <w:pPr>
        <w:pStyle w:val="3"/>
        <w:rPr>
          <w:rFonts w:ascii="Times New Roman" w:hAnsi="Times New Roman" w:cs="Times New Roman"/>
          <w:color w:val="auto"/>
          <w:lang w:eastAsia="zh-CN"/>
        </w:rPr>
      </w:pPr>
      <w:bookmarkStart w:id="491" w:name="bookmark72"/>
      <w:bookmarkEnd w:id="491"/>
      <w:bookmarkStart w:id="492" w:name="bookmark71"/>
      <w:bookmarkEnd w:id="492"/>
      <w:bookmarkStart w:id="493" w:name="_Toc183187291"/>
      <w:r>
        <w:rPr>
          <w:rFonts w:ascii="Times New Roman" w:hAnsi="Times New Roman" w:cs="Times New Roman"/>
          <w:color w:val="auto"/>
          <w:lang w:eastAsia="zh-CN"/>
        </w:rPr>
        <w:t>一、全方位培育绿色低碳产业</w:t>
      </w:r>
      <w:bookmarkEnd w:id="493"/>
    </w:p>
    <w:p w14:paraId="4722BE56">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94" w:name="_Toc183187292"/>
      <w:r>
        <w:rPr>
          <w:rFonts w:ascii="Times New Roman" w:hAnsi="Times New Roman" w:eastAsia="仿宋" w:cs="Times New Roman"/>
          <w:b/>
          <w:bCs/>
          <w:color w:val="auto"/>
          <w:spacing w:val="-2"/>
          <w:sz w:val="28"/>
          <w:szCs w:val="28"/>
          <w:lang w:eastAsia="zh-CN"/>
        </w:rPr>
        <w:t>（一）提高农业产业现代化水平</w:t>
      </w:r>
      <w:bookmarkEnd w:id="494"/>
    </w:p>
    <w:p w14:paraId="1AECCCE6">
      <w:pPr>
        <w:widowControl w:val="0"/>
        <w:spacing w:line="560" w:lineRule="exact"/>
        <w:ind w:firstLine="563"/>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大力发展高效节水农业，推行浅埋滴灌为主的高效节水灌溉和水肥一</w:t>
      </w:r>
      <w:r>
        <w:rPr>
          <w:rFonts w:ascii="Times New Roman" w:hAnsi="Times New Roman" w:eastAsia="仿宋" w:cs="Times New Roman"/>
          <w:color w:val="auto"/>
          <w:spacing w:val="-4"/>
          <w:sz w:val="28"/>
          <w:szCs w:val="28"/>
          <w:lang w:eastAsia="zh-CN"/>
        </w:rPr>
        <w:t>体化技术，建设高标准农田和杨家营子等地区设施农业，夯</w:t>
      </w:r>
      <w:r>
        <w:rPr>
          <w:rFonts w:ascii="Times New Roman" w:hAnsi="Times New Roman" w:eastAsia="仿宋" w:cs="Times New Roman"/>
          <w:color w:val="auto"/>
          <w:spacing w:val="-5"/>
          <w:sz w:val="28"/>
          <w:szCs w:val="28"/>
          <w:lang w:eastAsia="zh-CN"/>
        </w:rPr>
        <w:t>实农业生产基础。推</w:t>
      </w:r>
      <w:r>
        <w:rPr>
          <w:rFonts w:ascii="Times New Roman" w:hAnsi="Times New Roman" w:eastAsia="仿宋" w:cs="Times New Roman"/>
          <w:color w:val="auto"/>
          <w:spacing w:val="-4"/>
          <w:sz w:val="28"/>
          <w:szCs w:val="28"/>
          <w:lang w:eastAsia="zh-CN"/>
        </w:rPr>
        <w:t>动农牧业标准化生产、规模化经营和品牌创建，打造</w:t>
      </w:r>
      <w:r>
        <w:rPr>
          <w:rFonts w:ascii="Times New Roman" w:hAnsi="Times New Roman" w:eastAsia="仿宋" w:cs="Times New Roman"/>
          <w:color w:val="auto"/>
          <w:spacing w:val="-5"/>
          <w:sz w:val="28"/>
          <w:szCs w:val="28"/>
          <w:lang w:eastAsia="zh-CN"/>
        </w:rPr>
        <w:t>绿色农牧业品牌，重</w:t>
      </w:r>
      <w:r>
        <w:rPr>
          <w:rFonts w:ascii="Times New Roman" w:hAnsi="Times New Roman" w:eastAsia="仿宋" w:cs="Times New Roman"/>
          <w:color w:val="auto"/>
          <w:spacing w:val="-4"/>
          <w:sz w:val="28"/>
          <w:szCs w:val="28"/>
          <w:lang w:eastAsia="zh-CN"/>
        </w:rPr>
        <w:t>点建设翁牛特旗现代农业示范产业园区和翁牛特旗肉牛研究院</w:t>
      </w:r>
      <w:r>
        <w:rPr>
          <w:rFonts w:ascii="Times New Roman" w:hAnsi="Times New Roman" w:eastAsia="仿宋" w:cs="Times New Roman"/>
          <w:color w:val="auto"/>
          <w:spacing w:val="-5"/>
          <w:sz w:val="28"/>
          <w:szCs w:val="28"/>
          <w:lang w:eastAsia="zh-CN"/>
        </w:rPr>
        <w:t>，打造牧区</w:t>
      </w:r>
      <w:r>
        <w:rPr>
          <w:rFonts w:ascii="Times New Roman" w:hAnsi="Times New Roman" w:eastAsia="仿宋" w:cs="Times New Roman"/>
          <w:color w:val="auto"/>
          <w:spacing w:val="-4"/>
          <w:sz w:val="28"/>
          <w:szCs w:val="28"/>
          <w:lang w:eastAsia="zh-CN"/>
        </w:rPr>
        <w:t>大寨特色生态种养销基地，推动种鸭养殖及有机蔬菜种植</w:t>
      </w:r>
      <w:r>
        <w:rPr>
          <w:rFonts w:ascii="Times New Roman" w:hAnsi="Times New Roman" w:eastAsia="仿宋" w:cs="Times New Roman"/>
          <w:color w:val="auto"/>
          <w:spacing w:val="-5"/>
          <w:sz w:val="28"/>
          <w:szCs w:val="28"/>
          <w:lang w:eastAsia="zh-CN"/>
        </w:rPr>
        <w:t>项目建设，以</w:t>
      </w:r>
      <w:r>
        <w:rPr>
          <w:rFonts w:ascii="Times New Roman" w:hAnsi="Times New Roman" w:eastAsia="仿宋" w:cs="Times New Roman"/>
          <w:color w:val="auto"/>
          <w:spacing w:val="-4"/>
          <w:sz w:val="28"/>
          <w:szCs w:val="28"/>
          <w:lang w:eastAsia="zh-CN"/>
        </w:rPr>
        <w:t>此为基础发展以肉类、乳品、粮食深加工为重点的食品加工</w:t>
      </w:r>
      <w:r>
        <w:rPr>
          <w:rFonts w:ascii="Times New Roman" w:hAnsi="Times New Roman" w:eastAsia="仿宋" w:cs="Times New Roman"/>
          <w:color w:val="auto"/>
          <w:spacing w:val="-5"/>
          <w:sz w:val="28"/>
          <w:szCs w:val="28"/>
          <w:lang w:eastAsia="zh-CN"/>
        </w:rPr>
        <w:t>产业，打造绿</w:t>
      </w:r>
      <w:r>
        <w:rPr>
          <w:rFonts w:ascii="Times New Roman" w:hAnsi="Times New Roman" w:eastAsia="仿宋" w:cs="Times New Roman"/>
          <w:color w:val="auto"/>
          <w:spacing w:val="-4"/>
          <w:sz w:val="28"/>
          <w:szCs w:val="28"/>
          <w:lang w:eastAsia="zh-CN"/>
        </w:rPr>
        <w:t>色农畜产品生产加工产业园，促进农畜产品加工业向</w:t>
      </w:r>
      <w:r>
        <w:rPr>
          <w:rFonts w:ascii="Times New Roman" w:hAnsi="Times New Roman" w:eastAsia="仿宋" w:cs="Times New Roman"/>
          <w:color w:val="auto"/>
          <w:spacing w:val="-5"/>
          <w:sz w:val="28"/>
          <w:szCs w:val="28"/>
          <w:lang w:eastAsia="zh-CN"/>
        </w:rPr>
        <w:t>园区集中，提高产业</w:t>
      </w:r>
      <w:r>
        <w:rPr>
          <w:rFonts w:ascii="Times New Roman" w:hAnsi="Times New Roman" w:eastAsia="仿宋" w:cs="Times New Roman"/>
          <w:color w:val="auto"/>
          <w:spacing w:val="-4"/>
          <w:sz w:val="28"/>
          <w:szCs w:val="28"/>
          <w:lang w:eastAsia="zh-CN"/>
        </w:rPr>
        <w:t>集中度和竞争力。加大农牧业投入，大力推广种植饲料</w:t>
      </w:r>
      <w:r>
        <w:rPr>
          <w:rFonts w:ascii="Times New Roman" w:hAnsi="Times New Roman" w:eastAsia="仿宋" w:cs="Times New Roman"/>
          <w:color w:val="auto"/>
          <w:spacing w:val="-5"/>
          <w:sz w:val="28"/>
          <w:szCs w:val="28"/>
          <w:lang w:eastAsia="zh-CN"/>
        </w:rPr>
        <w:t>原料林、生物质原</w:t>
      </w:r>
      <w:r>
        <w:rPr>
          <w:rFonts w:ascii="Times New Roman" w:hAnsi="Times New Roman" w:eastAsia="仿宋" w:cs="Times New Roman"/>
          <w:color w:val="auto"/>
          <w:spacing w:val="-4"/>
          <w:sz w:val="28"/>
          <w:szCs w:val="28"/>
          <w:lang w:eastAsia="zh-CN"/>
        </w:rPr>
        <w:t>料林、特色经济林和林下种养业等绿色产业基地，积</w:t>
      </w:r>
      <w:r>
        <w:rPr>
          <w:rFonts w:ascii="Times New Roman" w:hAnsi="Times New Roman" w:eastAsia="仿宋" w:cs="Times New Roman"/>
          <w:color w:val="auto"/>
          <w:spacing w:val="-5"/>
          <w:sz w:val="28"/>
          <w:szCs w:val="28"/>
          <w:lang w:eastAsia="zh-CN"/>
        </w:rPr>
        <w:t>极发展种苗产业、林</w:t>
      </w:r>
      <w:r>
        <w:rPr>
          <w:rFonts w:ascii="Times New Roman" w:hAnsi="Times New Roman" w:eastAsia="仿宋" w:cs="Times New Roman"/>
          <w:color w:val="auto"/>
          <w:spacing w:val="-4"/>
          <w:sz w:val="28"/>
          <w:szCs w:val="28"/>
          <w:lang w:eastAsia="zh-CN"/>
        </w:rPr>
        <w:t>果产业，实行定向培育，集约经营，培育优质林产品。</w:t>
      </w:r>
      <w:r>
        <w:rPr>
          <w:rFonts w:ascii="Times New Roman" w:hAnsi="Times New Roman" w:eastAsia="仿宋" w:cs="Times New Roman"/>
          <w:color w:val="auto"/>
          <w:spacing w:val="-5"/>
          <w:sz w:val="28"/>
          <w:szCs w:val="28"/>
          <w:lang w:eastAsia="zh-CN"/>
        </w:rPr>
        <w:t>培育一批具备一定</w:t>
      </w:r>
      <w:r>
        <w:rPr>
          <w:rFonts w:ascii="Times New Roman" w:hAnsi="Times New Roman" w:eastAsia="仿宋" w:cs="Times New Roman"/>
          <w:color w:val="auto"/>
          <w:spacing w:val="-4"/>
          <w:sz w:val="28"/>
          <w:szCs w:val="28"/>
          <w:lang w:eastAsia="zh-CN"/>
        </w:rPr>
        <w:t>科学文化知识、有较高农业生产技能、善于接受新技术、新</w:t>
      </w:r>
      <w:r>
        <w:rPr>
          <w:rFonts w:ascii="Times New Roman" w:hAnsi="Times New Roman" w:eastAsia="仿宋" w:cs="Times New Roman"/>
          <w:color w:val="auto"/>
          <w:spacing w:val="-5"/>
          <w:sz w:val="28"/>
          <w:szCs w:val="28"/>
          <w:lang w:eastAsia="zh-CN"/>
        </w:rPr>
        <w:t>事物的新型经</w:t>
      </w:r>
      <w:r>
        <w:rPr>
          <w:rFonts w:ascii="Times New Roman" w:hAnsi="Times New Roman" w:eastAsia="仿宋" w:cs="Times New Roman"/>
          <w:color w:val="auto"/>
          <w:spacing w:val="-2"/>
          <w:sz w:val="28"/>
          <w:szCs w:val="28"/>
          <w:lang w:eastAsia="zh-CN"/>
        </w:rPr>
        <w:t>营主体和新型职业农牧民，提高种植业生产全过程机械化、智能化水平，</w:t>
      </w:r>
      <w:r>
        <w:rPr>
          <w:rFonts w:ascii="Times New Roman" w:hAnsi="Times New Roman" w:eastAsia="仿宋" w:cs="Times New Roman"/>
          <w:color w:val="auto"/>
          <w:spacing w:val="-4"/>
          <w:sz w:val="28"/>
          <w:szCs w:val="28"/>
          <w:lang w:eastAsia="zh-CN"/>
        </w:rPr>
        <w:t>创建建设智慧农业和数字农业先行区，提高农业现代</w:t>
      </w:r>
      <w:r>
        <w:rPr>
          <w:rFonts w:ascii="Times New Roman" w:hAnsi="Times New Roman" w:eastAsia="仿宋" w:cs="Times New Roman"/>
          <w:color w:val="auto"/>
          <w:spacing w:val="-5"/>
          <w:sz w:val="28"/>
          <w:szCs w:val="28"/>
          <w:lang w:eastAsia="zh-CN"/>
        </w:rPr>
        <w:t>化水平。坚持绿色高端定位，强化</w:t>
      </w:r>
      <w:r>
        <w:rPr>
          <w:rFonts w:ascii="Times New Roman" w:hAnsi="Times New Roman" w:eastAsia="Times New Roman" w:cs="Times New Roman"/>
          <w:color w:val="auto"/>
          <w:spacing w:val="-5"/>
          <w:sz w:val="28"/>
          <w:szCs w:val="28"/>
          <w:lang w:eastAsia="zh-CN"/>
        </w:rPr>
        <w:t>“</w:t>
      </w:r>
      <w:r>
        <w:rPr>
          <w:rFonts w:ascii="Times New Roman" w:hAnsi="Times New Roman" w:eastAsia="仿宋" w:cs="Times New Roman"/>
          <w:color w:val="auto"/>
          <w:spacing w:val="-5"/>
          <w:sz w:val="28"/>
          <w:szCs w:val="28"/>
          <w:lang w:eastAsia="zh-CN"/>
        </w:rPr>
        <w:t>农超对接</w:t>
      </w:r>
      <w:r>
        <w:rPr>
          <w:rFonts w:ascii="Times New Roman" w:hAnsi="Times New Roman" w:eastAsia="Times New Roman" w:cs="Times New Roman"/>
          <w:color w:val="auto"/>
          <w:spacing w:val="-5"/>
          <w:sz w:val="28"/>
          <w:szCs w:val="28"/>
          <w:lang w:eastAsia="zh-CN"/>
        </w:rPr>
        <w:t>”“</w:t>
      </w:r>
      <w:r>
        <w:rPr>
          <w:rFonts w:ascii="Times New Roman" w:hAnsi="Times New Roman" w:eastAsia="仿宋" w:cs="Times New Roman"/>
          <w:color w:val="auto"/>
          <w:spacing w:val="-5"/>
          <w:sz w:val="28"/>
          <w:szCs w:val="28"/>
          <w:lang w:eastAsia="zh-CN"/>
        </w:rPr>
        <w:t>农旅结合</w:t>
      </w:r>
      <w:r>
        <w:rPr>
          <w:rFonts w:ascii="Times New Roman" w:hAnsi="Times New Roman" w:eastAsia="Times New Roman" w:cs="Times New Roman"/>
          <w:color w:val="auto"/>
          <w:spacing w:val="-5"/>
          <w:sz w:val="28"/>
          <w:szCs w:val="28"/>
          <w:lang w:eastAsia="zh-CN"/>
        </w:rPr>
        <w:t>”</w:t>
      </w:r>
      <w:r>
        <w:rPr>
          <w:rFonts w:ascii="Times New Roman" w:hAnsi="Times New Roman" w:eastAsia="仿宋" w:cs="Times New Roman"/>
          <w:color w:val="auto"/>
          <w:spacing w:val="-5"/>
          <w:sz w:val="28"/>
          <w:szCs w:val="28"/>
          <w:lang w:eastAsia="zh-CN"/>
        </w:rPr>
        <w:t>，积极</w:t>
      </w:r>
      <w:r>
        <w:rPr>
          <w:rFonts w:ascii="Times New Roman" w:hAnsi="Times New Roman" w:eastAsia="仿宋" w:cs="Times New Roman"/>
          <w:color w:val="auto"/>
          <w:spacing w:val="-6"/>
          <w:sz w:val="28"/>
          <w:szCs w:val="28"/>
          <w:lang w:eastAsia="zh-CN"/>
        </w:rPr>
        <w:t>利用</w:t>
      </w:r>
      <w:r>
        <w:rPr>
          <w:rFonts w:ascii="Times New Roman" w:hAnsi="Times New Roman" w:eastAsia="Times New Roman" w:cs="Times New Roman"/>
          <w:color w:val="auto"/>
          <w:spacing w:val="-6"/>
          <w:sz w:val="28"/>
          <w:szCs w:val="28"/>
          <w:lang w:eastAsia="zh-CN"/>
        </w:rPr>
        <w:t>“</w:t>
      </w:r>
      <w:r>
        <w:rPr>
          <w:rFonts w:ascii="Times New Roman" w:hAnsi="Times New Roman" w:eastAsia="仿宋" w:cs="Times New Roman"/>
          <w:color w:val="auto"/>
          <w:spacing w:val="-6"/>
          <w:sz w:val="28"/>
          <w:szCs w:val="28"/>
          <w:lang w:eastAsia="zh-CN"/>
        </w:rPr>
        <w:t>互联网</w:t>
      </w:r>
      <w:r>
        <w:rPr>
          <w:rFonts w:ascii="Times New Roman" w:hAnsi="Times New Roman" w:eastAsia="Times New Roman" w:cs="Times New Roman"/>
          <w:color w:val="auto"/>
          <w:spacing w:val="-6"/>
          <w:sz w:val="28"/>
          <w:szCs w:val="28"/>
          <w:lang w:eastAsia="zh-CN"/>
        </w:rPr>
        <w:t>+”</w:t>
      </w:r>
      <w:r>
        <w:rPr>
          <w:rFonts w:ascii="Times New Roman" w:hAnsi="Times New Roman" w:eastAsia="仿宋" w:cs="Times New Roman"/>
          <w:color w:val="auto"/>
          <w:spacing w:val="-6"/>
          <w:sz w:val="28"/>
          <w:szCs w:val="28"/>
          <w:lang w:eastAsia="zh-CN"/>
        </w:rPr>
        <w:t>模式，建立多元</w:t>
      </w:r>
      <w:r>
        <w:rPr>
          <w:rFonts w:ascii="Times New Roman" w:hAnsi="Times New Roman" w:eastAsia="仿宋" w:cs="Times New Roman"/>
          <w:color w:val="auto"/>
          <w:spacing w:val="-3"/>
          <w:sz w:val="28"/>
          <w:szCs w:val="28"/>
          <w:lang w:eastAsia="zh-CN"/>
        </w:rPr>
        <w:t>化的农产品展示销售网络体系。</w:t>
      </w:r>
    </w:p>
    <w:p w14:paraId="097D5D5D">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95" w:name="_Toc183187293"/>
      <w:r>
        <w:rPr>
          <w:rFonts w:ascii="Times New Roman" w:hAnsi="Times New Roman" w:eastAsia="仿宋" w:cs="Times New Roman"/>
          <w:b/>
          <w:bCs/>
          <w:color w:val="auto"/>
          <w:spacing w:val="-2"/>
          <w:sz w:val="28"/>
          <w:szCs w:val="28"/>
          <w:lang w:eastAsia="zh-CN"/>
        </w:rPr>
        <w:t>（二）发展循环低碳的新型工业</w:t>
      </w:r>
      <w:bookmarkEnd w:id="495"/>
    </w:p>
    <w:p w14:paraId="2973690A">
      <w:pPr>
        <w:widowControl w:val="0"/>
        <w:spacing w:line="560" w:lineRule="exact"/>
        <w:ind w:firstLine="559"/>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2"/>
          <w:sz w:val="28"/>
          <w:szCs w:val="28"/>
          <w:lang w:eastAsia="zh-CN"/>
        </w:rPr>
        <w:t>加快推进冶金绿色开发，推进生产智能化，健全安全生产长效机制，</w:t>
      </w:r>
      <w:r>
        <w:rPr>
          <w:rFonts w:ascii="Times New Roman" w:hAnsi="Times New Roman" w:eastAsia="仿宋" w:cs="Times New Roman"/>
          <w:color w:val="auto"/>
          <w:spacing w:val="-12"/>
          <w:sz w:val="28"/>
          <w:szCs w:val="28"/>
          <w:lang w:eastAsia="zh-CN"/>
        </w:rPr>
        <w:t>构建集约、智能、安全、绿色的现代冶金工</w:t>
      </w:r>
      <w:r>
        <w:rPr>
          <w:rFonts w:ascii="Times New Roman" w:hAnsi="Times New Roman" w:eastAsia="仿宋" w:cs="Times New Roman"/>
          <w:color w:val="auto"/>
          <w:spacing w:val="-13"/>
          <w:sz w:val="28"/>
          <w:szCs w:val="28"/>
          <w:lang w:eastAsia="zh-CN"/>
        </w:rPr>
        <w:t>业体系。重点开发建设少郎河矿区</w:t>
      </w:r>
      <w:r>
        <w:rPr>
          <w:rFonts w:ascii="Times New Roman" w:hAnsi="Times New Roman" w:eastAsia="仿宋" w:cs="Times New Roman"/>
          <w:color w:val="auto"/>
          <w:spacing w:val="-2"/>
          <w:sz w:val="28"/>
          <w:szCs w:val="28"/>
          <w:lang w:eastAsia="zh-CN"/>
        </w:rPr>
        <w:t>，提高冶金行业集约化发展水平。加快冶金企业兼并重组，</w:t>
      </w:r>
      <w:r>
        <w:rPr>
          <w:rFonts w:ascii="Times New Roman" w:hAnsi="Times New Roman" w:eastAsia="仿宋" w:cs="Times New Roman"/>
          <w:color w:val="auto"/>
          <w:spacing w:val="-10"/>
          <w:sz w:val="28"/>
          <w:szCs w:val="28"/>
          <w:lang w:eastAsia="zh-CN"/>
        </w:rPr>
        <w:t>提高</w:t>
      </w:r>
      <w:r>
        <w:rPr>
          <w:rFonts w:ascii="Times New Roman" w:hAnsi="Times New Roman" w:eastAsia="仿宋" w:cs="Times New Roman"/>
          <w:color w:val="auto"/>
          <w:spacing w:val="-2"/>
          <w:sz w:val="28"/>
          <w:szCs w:val="28"/>
          <w:lang w:eastAsia="zh-CN"/>
        </w:rPr>
        <w:t>冶金</w:t>
      </w:r>
      <w:r>
        <w:rPr>
          <w:rFonts w:ascii="Times New Roman" w:hAnsi="Times New Roman" w:eastAsia="仿宋" w:cs="Times New Roman"/>
          <w:color w:val="auto"/>
          <w:spacing w:val="-10"/>
          <w:sz w:val="28"/>
          <w:szCs w:val="28"/>
          <w:lang w:eastAsia="zh-CN"/>
        </w:rPr>
        <w:t>产业集中度，增强抵御市场风险能力。基于丹锡高速、305国道及306国道，形成产业智能服务核，发挥核心辐射带动作用，实现翁牛特旗工业园区集约发展。重点发展以硅基新材料、新能源、装备制造为主的产品开发区，重点推动硅基新材料产业科技创新中心及新能源、工业配套服务中心的落地，积极发展风积沙选矿及硅基新材料产业，重点发展新能源、装备制造、机械维修服务以及废弃物回收处理及综合利用等工业配套产业。</w:t>
      </w:r>
      <w:r>
        <w:rPr>
          <w:rFonts w:ascii="Times New Roman" w:hAnsi="Times New Roman" w:eastAsia="仿宋" w:cs="Times New Roman"/>
          <w:color w:val="auto"/>
          <w:spacing w:val="-4"/>
          <w:sz w:val="28"/>
          <w:szCs w:val="28"/>
          <w:lang w:eastAsia="zh-CN"/>
        </w:rPr>
        <w:t>发挥现有产业</w:t>
      </w:r>
      <w:r>
        <w:rPr>
          <w:rFonts w:ascii="Times New Roman" w:hAnsi="Times New Roman" w:eastAsia="仿宋" w:cs="Times New Roman"/>
          <w:color w:val="auto"/>
          <w:spacing w:val="-5"/>
          <w:sz w:val="28"/>
          <w:szCs w:val="28"/>
          <w:lang w:eastAsia="zh-CN"/>
        </w:rPr>
        <w:t>基础优势，培育壮大</w:t>
      </w:r>
      <w:r>
        <w:rPr>
          <w:rFonts w:ascii="Times New Roman" w:hAnsi="Times New Roman" w:eastAsia="仿宋" w:cs="Times New Roman"/>
          <w:color w:val="auto"/>
          <w:spacing w:val="-4"/>
          <w:sz w:val="28"/>
          <w:szCs w:val="28"/>
          <w:lang w:eastAsia="zh-CN"/>
        </w:rPr>
        <w:t>化工新材料、先进碳材料、新型储能材料等新材料，</w:t>
      </w:r>
      <w:r>
        <w:rPr>
          <w:rFonts w:ascii="Times New Roman" w:hAnsi="Times New Roman" w:eastAsia="仿宋" w:cs="Times New Roman"/>
          <w:color w:val="auto"/>
          <w:spacing w:val="-5"/>
          <w:sz w:val="28"/>
          <w:szCs w:val="28"/>
          <w:lang w:eastAsia="zh-CN"/>
        </w:rPr>
        <w:t>光伏发电装备、风电</w:t>
      </w:r>
      <w:r>
        <w:rPr>
          <w:rFonts w:ascii="Times New Roman" w:hAnsi="Times New Roman" w:eastAsia="仿宋" w:cs="Times New Roman"/>
          <w:color w:val="auto"/>
          <w:spacing w:val="-4"/>
          <w:sz w:val="28"/>
          <w:szCs w:val="28"/>
          <w:lang w:eastAsia="zh-CN"/>
        </w:rPr>
        <w:t>装备等新能源装备制造，节能环保等战略性新兴产业，优</w:t>
      </w:r>
      <w:r>
        <w:rPr>
          <w:rFonts w:ascii="Times New Roman" w:hAnsi="Times New Roman" w:eastAsia="仿宋" w:cs="Times New Roman"/>
          <w:color w:val="auto"/>
          <w:spacing w:val="-5"/>
          <w:sz w:val="28"/>
          <w:szCs w:val="28"/>
          <w:lang w:eastAsia="zh-CN"/>
        </w:rPr>
        <w:t>化布局分布式光</w:t>
      </w:r>
      <w:r>
        <w:rPr>
          <w:rFonts w:ascii="Times New Roman" w:hAnsi="Times New Roman" w:eastAsia="仿宋" w:cs="Times New Roman"/>
          <w:color w:val="auto"/>
          <w:spacing w:val="-4"/>
          <w:sz w:val="28"/>
          <w:szCs w:val="28"/>
          <w:lang w:eastAsia="zh-CN"/>
        </w:rPr>
        <w:t>伏项目，耦合发展光伏、生物等能源综合</w:t>
      </w:r>
      <w:r>
        <w:rPr>
          <w:rFonts w:ascii="Times New Roman" w:hAnsi="Times New Roman" w:eastAsia="仿宋" w:cs="Times New Roman"/>
          <w:color w:val="auto"/>
          <w:spacing w:val="-5"/>
          <w:sz w:val="28"/>
          <w:szCs w:val="28"/>
          <w:lang w:eastAsia="zh-CN"/>
        </w:rPr>
        <w:t>体，推动工业产业结</w:t>
      </w:r>
      <w:r>
        <w:rPr>
          <w:rFonts w:ascii="Times New Roman" w:hAnsi="Times New Roman" w:eastAsia="仿宋" w:cs="Times New Roman"/>
          <w:color w:val="auto"/>
          <w:spacing w:val="-3"/>
          <w:sz w:val="28"/>
          <w:szCs w:val="28"/>
          <w:lang w:eastAsia="zh-CN"/>
        </w:rPr>
        <w:t>构优化升级。</w:t>
      </w:r>
    </w:p>
    <w:p w14:paraId="4B917D93">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96" w:name="_Toc183187294"/>
      <w:r>
        <w:rPr>
          <w:rFonts w:ascii="Times New Roman" w:hAnsi="Times New Roman" w:eastAsia="仿宋" w:cs="Times New Roman"/>
          <w:b/>
          <w:bCs/>
          <w:color w:val="auto"/>
          <w:spacing w:val="-2"/>
          <w:sz w:val="28"/>
          <w:szCs w:val="28"/>
          <w:lang w:eastAsia="zh-CN"/>
        </w:rPr>
        <w:t>（三）打造绿色智能现代服务业</w:t>
      </w:r>
      <w:bookmarkEnd w:id="496"/>
    </w:p>
    <w:p w14:paraId="278B3B2F">
      <w:pPr>
        <w:widowControl w:val="0"/>
        <w:spacing w:line="560" w:lineRule="exact"/>
        <w:ind w:firstLine="568"/>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2"/>
          <w:sz w:val="28"/>
          <w:szCs w:val="28"/>
          <w:lang w:eastAsia="zh-CN"/>
        </w:rPr>
        <w:t>重点规划建设翁牛特旗货运专线正线2.2千米，可与“赤大白线、锡乌线、霍白线、锦白线、集通线、京通线、巴新线等多条铁路贯通全国乃至中欧”的物流体系</w:t>
      </w:r>
      <w:r>
        <w:rPr>
          <w:rFonts w:ascii="Times New Roman" w:hAnsi="Times New Roman" w:eastAsia="仿宋" w:cs="Times New Roman"/>
          <w:color w:val="auto"/>
          <w:spacing w:val="-4"/>
          <w:sz w:val="28"/>
          <w:szCs w:val="28"/>
          <w:lang w:eastAsia="zh-CN"/>
        </w:rPr>
        <w:t>；加快发展煤炭、化工、建材、装备、冷链等专业物</w:t>
      </w:r>
      <w:r>
        <w:rPr>
          <w:rFonts w:ascii="Times New Roman" w:hAnsi="Times New Roman" w:eastAsia="仿宋" w:cs="Times New Roman"/>
          <w:color w:val="auto"/>
          <w:spacing w:val="-5"/>
          <w:sz w:val="28"/>
          <w:szCs w:val="28"/>
          <w:lang w:eastAsia="zh-CN"/>
        </w:rPr>
        <w:t>流，积极发展具备</w:t>
      </w:r>
      <w:r>
        <w:rPr>
          <w:rFonts w:ascii="Times New Roman" w:hAnsi="Times New Roman" w:eastAsia="仿宋" w:cs="Times New Roman"/>
          <w:color w:val="auto"/>
          <w:spacing w:val="-2"/>
          <w:sz w:val="28"/>
          <w:szCs w:val="28"/>
          <w:lang w:eastAsia="zh-CN"/>
        </w:rPr>
        <w:t>物流一体化解决方案，具有供应链设计、咨询、管理能力的第四方物流；</w:t>
      </w:r>
      <w:r>
        <w:rPr>
          <w:rFonts w:ascii="Times New Roman" w:hAnsi="Times New Roman" w:eastAsia="仿宋" w:cs="Times New Roman"/>
          <w:color w:val="auto"/>
          <w:spacing w:val="1"/>
          <w:sz w:val="28"/>
          <w:szCs w:val="28"/>
          <w:lang w:eastAsia="zh-CN"/>
        </w:rPr>
        <w:t>加快推动</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互联网</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高效物流发展，实现物流业</w:t>
      </w:r>
      <w:r>
        <w:rPr>
          <w:rFonts w:ascii="Times New Roman" w:hAnsi="Times New Roman" w:eastAsia="仿宋" w:cs="Times New Roman"/>
          <w:color w:val="auto"/>
          <w:sz w:val="28"/>
          <w:szCs w:val="28"/>
          <w:lang w:eastAsia="zh-CN"/>
        </w:rPr>
        <w:t>全程透明、智能管理。充</w:t>
      </w:r>
      <w:r>
        <w:rPr>
          <w:rFonts w:ascii="Times New Roman" w:hAnsi="Times New Roman" w:eastAsia="仿宋" w:cs="Times New Roman"/>
          <w:color w:val="auto"/>
          <w:spacing w:val="-3"/>
          <w:sz w:val="28"/>
          <w:szCs w:val="28"/>
          <w:lang w:eastAsia="zh-CN"/>
        </w:rPr>
        <w:t>分挖掘契丹文化、游牧文化等特色文化资源，重点打造红色文化教育基</w:t>
      </w:r>
      <w:r>
        <w:rPr>
          <w:rFonts w:ascii="Times New Roman" w:hAnsi="Times New Roman" w:eastAsia="仿宋" w:cs="Times New Roman"/>
          <w:color w:val="auto"/>
          <w:spacing w:val="-4"/>
          <w:sz w:val="28"/>
          <w:szCs w:val="28"/>
          <w:lang w:eastAsia="zh-CN"/>
        </w:rPr>
        <w:t>地和绿色文化体验基地两张名片，打造品牌文化旅游</w:t>
      </w:r>
      <w:r>
        <w:rPr>
          <w:rFonts w:ascii="Times New Roman" w:hAnsi="Times New Roman" w:eastAsia="仿宋" w:cs="Times New Roman"/>
          <w:color w:val="auto"/>
          <w:spacing w:val="-5"/>
          <w:sz w:val="28"/>
          <w:szCs w:val="28"/>
          <w:lang w:eastAsia="zh-CN"/>
        </w:rPr>
        <w:t>线路；依托文冠花杜鹃花旅游节、红山湖水生态旅游美食节等系列主题文旅活动，全方位展示“龙凤之乡”独特魅力</w:t>
      </w:r>
      <w:r>
        <w:rPr>
          <w:rFonts w:ascii="Times New Roman" w:hAnsi="Times New Roman" w:eastAsia="仿宋" w:cs="Times New Roman"/>
          <w:color w:val="auto"/>
          <w:spacing w:val="-4"/>
          <w:sz w:val="28"/>
          <w:szCs w:val="28"/>
          <w:lang w:eastAsia="zh-CN"/>
        </w:rPr>
        <w:t>。广泛利用报纸、电视、互联网等平面、电子媒体等进行立体宣</w:t>
      </w:r>
      <w:r>
        <w:rPr>
          <w:rFonts w:ascii="Times New Roman" w:hAnsi="Times New Roman" w:eastAsia="仿宋" w:cs="Times New Roman"/>
          <w:color w:val="auto"/>
          <w:spacing w:val="-5"/>
          <w:sz w:val="28"/>
          <w:szCs w:val="28"/>
          <w:lang w:eastAsia="zh-CN"/>
        </w:rPr>
        <w:t>传，举</w:t>
      </w:r>
      <w:r>
        <w:rPr>
          <w:rFonts w:ascii="Times New Roman" w:hAnsi="Times New Roman" w:eastAsia="仿宋" w:cs="Times New Roman"/>
          <w:color w:val="auto"/>
          <w:spacing w:val="1"/>
          <w:sz w:val="28"/>
          <w:szCs w:val="28"/>
          <w:lang w:eastAsia="zh-CN"/>
        </w:rPr>
        <w:t>办旅游宣传推广活动，完善吃、住、行等旅游服务功能，持续提升“龙凤故里·心灵之旅”旅游品牌影响力</w:t>
      </w:r>
      <w:r>
        <w:rPr>
          <w:rFonts w:ascii="Times New Roman" w:hAnsi="Times New Roman" w:eastAsia="宋体" w:cs="Times New Roman"/>
          <w:color w:val="auto"/>
          <w:sz w:val="28"/>
          <w:szCs w:val="28"/>
          <w:lang w:eastAsia="zh-CN"/>
        </w:rPr>
        <w:t>。</w:t>
      </w:r>
      <w:r>
        <w:rPr>
          <w:rFonts w:ascii="Times New Roman" w:hAnsi="Times New Roman" w:eastAsia="仿宋" w:cs="Times New Roman"/>
          <w:color w:val="auto"/>
          <w:spacing w:val="1"/>
          <w:sz w:val="28"/>
          <w:szCs w:val="28"/>
          <w:lang w:eastAsia="zh-CN"/>
        </w:rPr>
        <w:t>加强商贸基础设施建设，实施老街</w:t>
      </w:r>
      <w:r>
        <w:rPr>
          <w:rFonts w:ascii="Times New Roman" w:hAnsi="Times New Roman" w:eastAsia="仿宋" w:cs="Times New Roman"/>
          <w:color w:val="auto"/>
          <w:sz w:val="28"/>
          <w:szCs w:val="28"/>
          <w:lang w:eastAsia="zh-CN"/>
        </w:rPr>
        <w:t>区改造提升计</w:t>
      </w:r>
      <w:r>
        <w:rPr>
          <w:rFonts w:ascii="Times New Roman" w:hAnsi="Times New Roman" w:eastAsia="仿宋" w:cs="Times New Roman"/>
          <w:color w:val="auto"/>
          <w:spacing w:val="-4"/>
          <w:sz w:val="28"/>
          <w:szCs w:val="28"/>
          <w:lang w:eastAsia="zh-CN"/>
        </w:rPr>
        <w:t>划，支持商业街区基础设施、交通设施、信息平台和</w:t>
      </w:r>
      <w:r>
        <w:rPr>
          <w:rFonts w:ascii="Times New Roman" w:hAnsi="Times New Roman" w:eastAsia="仿宋" w:cs="Times New Roman"/>
          <w:color w:val="auto"/>
          <w:spacing w:val="-5"/>
          <w:sz w:val="28"/>
          <w:szCs w:val="28"/>
          <w:lang w:eastAsia="zh-CN"/>
        </w:rPr>
        <w:t>诚信体系等新建改建</w:t>
      </w:r>
      <w:r>
        <w:rPr>
          <w:rFonts w:ascii="Times New Roman" w:hAnsi="Times New Roman" w:eastAsia="仿宋" w:cs="Times New Roman"/>
          <w:color w:val="auto"/>
          <w:spacing w:val="-4"/>
          <w:sz w:val="28"/>
          <w:szCs w:val="28"/>
          <w:lang w:eastAsia="zh-CN"/>
        </w:rPr>
        <w:t>项目，提升品质化、数字化管理服务水平，促进线上</w:t>
      </w:r>
      <w:r>
        <w:rPr>
          <w:rFonts w:ascii="Times New Roman" w:hAnsi="Times New Roman" w:eastAsia="仿宋" w:cs="Times New Roman"/>
          <w:color w:val="auto"/>
          <w:spacing w:val="-5"/>
          <w:sz w:val="28"/>
          <w:szCs w:val="28"/>
          <w:lang w:eastAsia="zh-CN"/>
        </w:rPr>
        <w:t>线下互动、服务体验</w:t>
      </w:r>
      <w:r>
        <w:rPr>
          <w:rFonts w:ascii="Times New Roman" w:hAnsi="Times New Roman" w:eastAsia="仿宋" w:cs="Times New Roman"/>
          <w:color w:val="auto"/>
          <w:spacing w:val="-3"/>
          <w:sz w:val="28"/>
          <w:szCs w:val="28"/>
          <w:lang w:eastAsia="zh-CN"/>
        </w:rPr>
        <w:t>融合、商旅文体协同、购物体验结合。</w:t>
      </w:r>
    </w:p>
    <w:p w14:paraId="236A3831">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497" w:name="_Toc183187295"/>
      <w:r>
        <w:rPr>
          <w:rFonts w:ascii="Times New Roman" w:hAnsi="Times New Roman" w:eastAsia="仿宋" w:cs="Times New Roman"/>
          <w:b/>
          <w:bCs/>
          <w:color w:val="auto"/>
          <w:spacing w:val="-2"/>
          <w:sz w:val="28"/>
          <w:szCs w:val="28"/>
          <w:lang w:eastAsia="zh-CN"/>
        </w:rPr>
        <w:t>（四）加速推进碳达峰战略实施</w:t>
      </w:r>
      <w:bookmarkEnd w:id="497"/>
    </w:p>
    <w:p w14:paraId="3CFA7988">
      <w:pPr>
        <w:widowControl w:val="0"/>
        <w:spacing w:line="560" w:lineRule="exact"/>
        <w:ind w:firstLine="567"/>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发展节能低碳农业大棚，推广节能环保器具，加快可再生能源在农业</w:t>
      </w:r>
      <w:r>
        <w:rPr>
          <w:rFonts w:ascii="Times New Roman" w:hAnsi="Times New Roman" w:eastAsia="仿宋" w:cs="Times New Roman"/>
          <w:color w:val="auto"/>
          <w:spacing w:val="-10"/>
          <w:sz w:val="28"/>
          <w:szCs w:val="28"/>
          <w:lang w:eastAsia="zh-CN"/>
        </w:rPr>
        <w:t>生产和农村生活中的应用，加强农村电网建设，提升农村用能电气化水平。严格落实能耗“双控”政策，严控重化工行业新增产能规模，采取有力措施控制石化能源的消费，重视通过科技创新大力增加非化石能源比重，进一步加快可再生能源和清洁能源替代，新增用能需求通过非化石能源和从存量用能需求中压减空间的方式来满足。</w:t>
      </w:r>
      <w:r>
        <w:rPr>
          <w:rFonts w:ascii="Times New Roman" w:hAnsi="Times New Roman" w:eastAsia="仿宋" w:cs="Times New Roman"/>
          <w:color w:val="auto"/>
          <w:spacing w:val="-4"/>
          <w:sz w:val="28"/>
          <w:szCs w:val="28"/>
          <w:lang w:eastAsia="zh-CN"/>
        </w:rPr>
        <w:t>化工行业实施二氧化碳捕集、利用与封存的全产业链示范项目建设，通过绿化循环和配套升级，奋力打造洁净能源</w:t>
      </w:r>
      <w:r>
        <w:rPr>
          <w:rFonts w:ascii="Times New Roman" w:hAnsi="Times New Roman" w:eastAsia="仿宋" w:cs="Times New Roman"/>
          <w:color w:val="auto"/>
          <w:spacing w:val="-5"/>
          <w:sz w:val="28"/>
          <w:szCs w:val="28"/>
          <w:lang w:eastAsia="zh-CN"/>
        </w:rPr>
        <w:t>化工企业和园区；</w:t>
      </w:r>
      <w:r>
        <w:rPr>
          <w:rFonts w:ascii="Times New Roman" w:hAnsi="Times New Roman" w:eastAsia="仿宋" w:cs="Times New Roman"/>
          <w:color w:val="auto"/>
          <w:spacing w:val="-14"/>
          <w:sz w:val="28"/>
          <w:szCs w:val="28"/>
          <w:lang w:eastAsia="zh-CN"/>
        </w:rPr>
        <w:t>积极推动地区新能源的开发利用，重点发展光伏、风电、</w:t>
      </w:r>
      <w:r>
        <w:rPr>
          <w:rFonts w:ascii="Times New Roman" w:hAnsi="Times New Roman" w:eastAsia="仿宋" w:cs="Times New Roman"/>
          <w:color w:val="auto"/>
          <w:spacing w:val="-4"/>
          <w:sz w:val="28"/>
          <w:szCs w:val="28"/>
          <w:lang w:eastAsia="zh-CN"/>
        </w:rPr>
        <w:t>氢能及生物质热电；构建风光火储相结合的多能互补</w:t>
      </w:r>
      <w:r>
        <w:rPr>
          <w:rFonts w:ascii="Times New Roman" w:hAnsi="Times New Roman" w:eastAsia="仿宋" w:cs="Times New Roman"/>
          <w:color w:val="auto"/>
          <w:spacing w:val="-5"/>
          <w:sz w:val="28"/>
          <w:szCs w:val="28"/>
          <w:lang w:eastAsia="zh-CN"/>
        </w:rPr>
        <w:t>能源结构，促进能源</w:t>
      </w:r>
      <w:r>
        <w:rPr>
          <w:rFonts w:ascii="Times New Roman" w:hAnsi="Times New Roman" w:eastAsia="仿宋" w:cs="Times New Roman"/>
          <w:color w:val="auto"/>
          <w:spacing w:val="-3"/>
          <w:sz w:val="28"/>
          <w:szCs w:val="28"/>
          <w:lang w:eastAsia="zh-CN"/>
        </w:rPr>
        <w:t>绿色低碳转型。加大交通运输结构优化调整力度，推动</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公转铁</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等多式联</w:t>
      </w:r>
      <w:r>
        <w:rPr>
          <w:rFonts w:ascii="Times New Roman" w:hAnsi="Times New Roman" w:eastAsia="仿宋" w:cs="Times New Roman"/>
          <w:color w:val="auto"/>
          <w:spacing w:val="-4"/>
          <w:sz w:val="28"/>
          <w:szCs w:val="28"/>
          <w:lang w:eastAsia="zh-CN"/>
        </w:rPr>
        <w:t>运，推广节能和新能源车辆；促进结构性节能减排，</w:t>
      </w:r>
      <w:r>
        <w:rPr>
          <w:rFonts w:ascii="Times New Roman" w:hAnsi="Times New Roman" w:eastAsia="仿宋" w:cs="Times New Roman"/>
          <w:color w:val="auto"/>
          <w:spacing w:val="-5"/>
          <w:sz w:val="28"/>
          <w:szCs w:val="28"/>
          <w:lang w:eastAsia="zh-CN"/>
        </w:rPr>
        <w:t>加快综合运输网络的</w:t>
      </w:r>
      <w:r>
        <w:rPr>
          <w:rFonts w:ascii="Times New Roman" w:hAnsi="Times New Roman" w:eastAsia="仿宋" w:cs="Times New Roman"/>
          <w:color w:val="auto"/>
          <w:spacing w:val="-4"/>
          <w:sz w:val="28"/>
          <w:szCs w:val="28"/>
          <w:lang w:eastAsia="zh-CN"/>
        </w:rPr>
        <w:t>形成、完善综合运输枢纽的建设。倡导低碳型的出行</w:t>
      </w:r>
      <w:r>
        <w:rPr>
          <w:rFonts w:ascii="Times New Roman" w:hAnsi="Times New Roman" w:eastAsia="仿宋" w:cs="Times New Roman"/>
          <w:color w:val="auto"/>
          <w:spacing w:val="-5"/>
          <w:sz w:val="28"/>
          <w:szCs w:val="28"/>
          <w:lang w:eastAsia="zh-CN"/>
        </w:rPr>
        <w:t>方式，加快发展公共</w:t>
      </w:r>
      <w:r>
        <w:rPr>
          <w:rFonts w:ascii="Times New Roman" w:hAnsi="Times New Roman" w:eastAsia="仿宋" w:cs="Times New Roman"/>
          <w:color w:val="auto"/>
          <w:spacing w:val="-4"/>
          <w:sz w:val="28"/>
          <w:szCs w:val="28"/>
          <w:lang w:eastAsia="zh-CN"/>
        </w:rPr>
        <w:t>交通，推进公交车、客运班车和出租车向高效低耗、绿色</w:t>
      </w:r>
      <w:r>
        <w:rPr>
          <w:rFonts w:ascii="Times New Roman" w:hAnsi="Times New Roman" w:eastAsia="仿宋" w:cs="Times New Roman"/>
          <w:color w:val="auto"/>
          <w:spacing w:val="-5"/>
          <w:sz w:val="28"/>
          <w:szCs w:val="28"/>
          <w:lang w:eastAsia="zh-CN"/>
        </w:rPr>
        <w:t>环保车辆更新的</w:t>
      </w:r>
      <w:r>
        <w:rPr>
          <w:rFonts w:ascii="Times New Roman" w:hAnsi="Times New Roman" w:eastAsia="仿宋" w:cs="Times New Roman"/>
          <w:color w:val="auto"/>
          <w:spacing w:val="-2"/>
          <w:sz w:val="28"/>
          <w:szCs w:val="28"/>
          <w:lang w:eastAsia="zh-CN"/>
        </w:rPr>
        <w:t>力度。加强自行车专用道和人行步道等城镇慢行系统建设。</w:t>
      </w:r>
    </w:p>
    <w:p w14:paraId="7015260D">
      <w:pPr>
        <w:pStyle w:val="3"/>
        <w:widowControl w:val="0"/>
        <w:rPr>
          <w:rFonts w:ascii="Times New Roman" w:hAnsi="Times New Roman" w:cs="Times New Roman"/>
          <w:color w:val="auto"/>
          <w:lang w:eastAsia="zh-CN"/>
        </w:rPr>
      </w:pPr>
      <w:bookmarkStart w:id="498" w:name="bookmark74"/>
      <w:bookmarkEnd w:id="498"/>
      <w:bookmarkStart w:id="499" w:name="bookmark73"/>
      <w:bookmarkEnd w:id="499"/>
      <w:bookmarkStart w:id="500" w:name="_Toc183187296"/>
      <w:r>
        <w:rPr>
          <w:rFonts w:ascii="Times New Roman" w:hAnsi="Times New Roman" w:cs="Times New Roman"/>
          <w:color w:val="auto"/>
          <w:lang w:eastAsia="zh-CN"/>
        </w:rPr>
        <w:t>二、多业态实施产业结构调整</w:t>
      </w:r>
      <w:bookmarkEnd w:id="500"/>
    </w:p>
    <w:p w14:paraId="7661C425">
      <w:pPr>
        <w:widowControl w:val="0"/>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01" w:name="_Toc183187297"/>
      <w:r>
        <w:rPr>
          <w:rFonts w:ascii="Times New Roman" w:hAnsi="Times New Roman" w:eastAsia="仿宋" w:cs="Times New Roman"/>
          <w:b/>
          <w:bCs/>
          <w:color w:val="auto"/>
          <w:spacing w:val="-2"/>
          <w:sz w:val="28"/>
          <w:szCs w:val="28"/>
          <w:lang w:eastAsia="zh-CN"/>
        </w:rPr>
        <w:t>（一）优化农经饲结构，科学发展畜牧业</w:t>
      </w:r>
      <w:bookmarkEnd w:id="501"/>
    </w:p>
    <w:p w14:paraId="1FAEB05C">
      <w:pPr>
        <w:widowControl w:val="0"/>
        <w:spacing w:line="560" w:lineRule="exact"/>
        <w:ind w:firstLine="567"/>
        <w:jc w:val="both"/>
        <w:rPr>
          <w:rFonts w:ascii="Times New Roman" w:hAnsi="Times New Roman" w:eastAsia="仿宋" w:cs="Times New Roman"/>
          <w:color w:val="auto"/>
          <w:spacing w:val="-2"/>
          <w:sz w:val="28"/>
          <w:szCs w:val="28"/>
          <w:lang w:eastAsia="zh-CN"/>
        </w:rPr>
      </w:pPr>
      <w:r>
        <w:rPr>
          <w:rFonts w:ascii="Times New Roman" w:hAnsi="Times New Roman" w:eastAsia="仿宋" w:cs="Times New Roman"/>
          <w:color w:val="auto"/>
          <w:spacing w:val="-5"/>
          <w:sz w:val="28"/>
          <w:szCs w:val="28"/>
          <w:lang w:eastAsia="zh-CN"/>
        </w:rPr>
        <w:t>合理布局种植结构，稳定主要粮食作物生产，适度压缩高耗水作物播</w:t>
      </w:r>
      <w:r>
        <w:rPr>
          <w:rFonts w:ascii="Times New Roman" w:hAnsi="Times New Roman" w:eastAsia="仿宋" w:cs="Times New Roman"/>
          <w:color w:val="auto"/>
          <w:spacing w:val="-1"/>
          <w:sz w:val="28"/>
          <w:szCs w:val="28"/>
          <w:lang w:eastAsia="zh-CN"/>
        </w:rPr>
        <w:t>种面积，在乌丹镇城郊结合部、广德公镇等地区，大力</w:t>
      </w:r>
      <w:r>
        <w:rPr>
          <w:rFonts w:ascii="Times New Roman" w:hAnsi="Times New Roman" w:eastAsia="仿宋" w:cs="Times New Roman"/>
          <w:color w:val="auto"/>
          <w:spacing w:val="-2"/>
          <w:sz w:val="28"/>
          <w:szCs w:val="28"/>
          <w:lang w:eastAsia="zh-CN"/>
        </w:rPr>
        <w:t>推广设施农业、</w:t>
      </w:r>
      <w:r>
        <w:rPr>
          <w:rFonts w:ascii="Times New Roman" w:hAnsi="Times New Roman" w:eastAsia="仿宋" w:cs="Times New Roman"/>
          <w:color w:val="auto"/>
          <w:spacing w:val="-4"/>
          <w:sz w:val="28"/>
          <w:szCs w:val="28"/>
          <w:lang w:eastAsia="zh-CN"/>
        </w:rPr>
        <w:t>配方施肥、玉米覆膜种植、蜜蜂授粉与绿色防控增产</w:t>
      </w:r>
      <w:r>
        <w:rPr>
          <w:rFonts w:ascii="Times New Roman" w:hAnsi="Times New Roman" w:eastAsia="仿宋" w:cs="Times New Roman"/>
          <w:color w:val="auto"/>
          <w:spacing w:val="-5"/>
          <w:sz w:val="28"/>
          <w:szCs w:val="28"/>
          <w:lang w:eastAsia="zh-CN"/>
        </w:rPr>
        <w:t>等适用技术。调减非</w:t>
      </w:r>
      <w:r>
        <w:rPr>
          <w:rFonts w:ascii="Times New Roman" w:hAnsi="Times New Roman" w:eastAsia="仿宋" w:cs="Times New Roman"/>
          <w:color w:val="auto"/>
          <w:spacing w:val="-4"/>
          <w:sz w:val="28"/>
          <w:szCs w:val="28"/>
          <w:lang w:eastAsia="zh-CN"/>
        </w:rPr>
        <w:t>优势区玉米种植，布局食用油原料生产，建设油料生</w:t>
      </w:r>
      <w:r>
        <w:rPr>
          <w:rFonts w:ascii="Times New Roman" w:hAnsi="Times New Roman" w:eastAsia="仿宋" w:cs="Times New Roman"/>
          <w:color w:val="auto"/>
          <w:spacing w:val="-5"/>
          <w:sz w:val="28"/>
          <w:szCs w:val="28"/>
          <w:lang w:eastAsia="zh-CN"/>
        </w:rPr>
        <w:t>产基地。积极发展瓜</w:t>
      </w:r>
      <w:r>
        <w:rPr>
          <w:rFonts w:ascii="Times New Roman" w:hAnsi="Times New Roman" w:eastAsia="仿宋" w:cs="Times New Roman"/>
          <w:color w:val="auto"/>
          <w:spacing w:val="-4"/>
          <w:sz w:val="28"/>
          <w:szCs w:val="28"/>
          <w:lang w:eastAsia="zh-CN"/>
        </w:rPr>
        <w:t>果蔬菜产业，引进先进地区经验做法、先进技术。优化农经饲结构，在不适宜种植粮食作物的耕地实施粮改饲，</w:t>
      </w:r>
      <w:r>
        <w:rPr>
          <w:rFonts w:ascii="Times New Roman" w:hAnsi="Times New Roman" w:eastAsia="仿宋" w:cs="Times New Roman"/>
          <w:color w:val="auto"/>
          <w:spacing w:val="-5"/>
          <w:sz w:val="28"/>
          <w:szCs w:val="28"/>
          <w:lang w:eastAsia="zh-CN"/>
        </w:rPr>
        <w:t>逐步扩大经济作物和</w:t>
      </w:r>
      <w:r>
        <w:rPr>
          <w:rFonts w:ascii="Times New Roman" w:hAnsi="Times New Roman" w:eastAsia="仿宋" w:cs="Times New Roman"/>
          <w:color w:val="auto"/>
          <w:spacing w:val="-4"/>
          <w:sz w:val="28"/>
          <w:szCs w:val="28"/>
          <w:lang w:eastAsia="zh-CN"/>
        </w:rPr>
        <w:t>饲草料种植比例，支持发展舍饲养殖，加快优质高效</w:t>
      </w:r>
      <w:r>
        <w:rPr>
          <w:rFonts w:ascii="Times New Roman" w:hAnsi="Times New Roman" w:eastAsia="仿宋" w:cs="Times New Roman"/>
          <w:color w:val="auto"/>
          <w:spacing w:val="-5"/>
          <w:sz w:val="28"/>
          <w:szCs w:val="28"/>
          <w:lang w:eastAsia="zh-CN"/>
        </w:rPr>
        <w:t>畜牧业发展。按照以</w:t>
      </w:r>
      <w:r>
        <w:rPr>
          <w:rFonts w:ascii="Times New Roman" w:hAnsi="Times New Roman" w:eastAsia="仿宋" w:cs="Times New Roman"/>
          <w:color w:val="auto"/>
          <w:spacing w:val="-2"/>
          <w:sz w:val="28"/>
          <w:szCs w:val="28"/>
          <w:lang w:eastAsia="zh-CN"/>
        </w:rPr>
        <w:t>草定畜的原则科学核定草场载畜量，合理规划建设高产饲料地、网围栏，</w:t>
      </w:r>
      <w:r>
        <w:rPr>
          <w:rFonts w:ascii="Times New Roman" w:hAnsi="Times New Roman" w:eastAsia="仿宋" w:cs="Times New Roman"/>
          <w:color w:val="auto"/>
          <w:spacing w:val="-4"/>
          <w:sz w:val="28"/>
          <w:szCs w:val="28"/>
          <w:lang w:eastAsia="zh-CN"/>
        </w:rPr>
        <w:t>杜绝过载放牧。大力发展家庭牧场、养殖大户，鼓励更</w:t>
      </w:r>
      <w:r>
        <w:rPr>
          <w:rFonts w:ascii="Times New Roman" w:hAnsi="Times New Roman" w:eastAsia="仿宋" w:cs="Times New Roman"/>
          <w:color w:val="auto"/>
          <w:spacing w:val="-5"/>
          <w:sz w:val="28"/>
          <w:szCs w:val="28"/>
          <w:lang w:eastAsia="zh-CN"/>
        </w:rPr>
        <w:t>大范围、更多形式</w:t>
      </w:r>
      <w:r>
        <w:rPr>
          <w:rFonts w:ascii="Times New Roman" w:hAnsi="Times New Roman" w:eastAsia="仿宋" w:cs="Times New Roman"/>
          <w:color w:val="auto"/>
          <w:spacing w:val="-2"/>
          <w:sz w:val="28"/>
          <w:szCs w:val="28"/>
          <w:lang w:eastAsia="zh-CN"/>
        </w:rPr>
        <w:t>的农牧业合作经济。</w:t>
      </w:r>
    </w:p>
    <w:p w14:paraId="0BB08913">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02" w:name="_Toc183187298"/>
      <w:r>
        <w:rPr>
          <w:rFonts w:ascii="Times New Roman" w:hAnsi="Times New Roman" w:eastAsia="仿宋" w:cs="Times New Roman"/>
          <w:b/>
          <w:bCs/>
          <w:color w:val="auto"/>
          <w:spacing w:val="-2"/>
          <w:sz w:val="28"/>
          <w:szCs w:val="28"/>
          <w:lang w:eastAsia="zh-CN"/>
        </w:rPr>
        <w:t>（二）加快发展新能源，积极培育新产业</w:t>
      </w:r>
      <w:bookmarkEnd w:id="502"/>
    </w:p>
    <w:p w14:paraId="0E87549A">
      <w:pPr>
        <w:spacing w:line="560" w:lineRule="exact"/>
        <w:ind w:firstLine="563"/>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3"/>
          <w:sz w:val="28"/>
          <w:szCs w:val="28"/>
          <w:lang w:eastAsia="zh-CN"/>
        </w:rPr>
        <w:t>优先开发沙地荒漠资源。充分</w:t>
      </w:r>
      <w:r>
        <w:rPr>
          <w:rFonts w:ascii="Times New Roman" w:hAnsi="Times New Roman" w:eastAsia="仿宋" w:cs="Times New Roman"/>
          <w:color w:val="auto"/>
          <w:spacing w:val="-4"/>
          <w:sz w:val="28"/>
          <w:szCs w:val="28"/>
          <w:lang w:eastAsia="zh-CN"/>
        </w:rPr>
        <w:t>利用东部草原沙地及浑善达克沙地土地资源，推进风光发电向规模化、集</w:t>
      </w:r>
      <w:r>
        <w:rPr>
          <w:rFonts w:ascii="Times New Roman" w:hAnsi="Times New Roman" w:eastAsia="仿宋" w:cs="Times New Roman"/>
          <w:color w:val="auto"/>
          <w:spacing w:val="-5"/>
          <w:sz w:val="28"/>
          <w:szCs w:val="28"/>
          <w:lang w:eastAsia="zh-CN"/>
        </w:rPr>
        <w:t>约化、智能化方向</w:t>
      </w:r>
      <w:r>
        <w:rPr>
          <w:rFonts w:ascii="Times New Roman" w:hAnsi="Times New Roman" w:eastAsia="仿宋" w:cs="Times New Roman"/>
          <w:color w:val="auto"/>
          <w:spacing w:val="-4"/>
          <w:sz w:val="28"/>
          <w:szCs w:val="28"/>
          <w:lang w:eastAsia="zh-CN"/>
        </w:rPr>
        <w:t>发展，大力发展集中式沙地荒漠光伏发电基地，大幅</w:t>
      </w:r>
      <w:r>
        <w:rPr>
          <w:rFonts w:ascii="Times New Roman" w:hAnsi="Times New Roman" w:eastAsia="仿宋" w:cs="Times New Roman"/>
          <w:color w:val="auto"/>
          <w:spacing w:val="-5"/>
          <w:sz w:val="28"/>
          <w:szCs w:val="28"/>
          <w:lang w:eastAsia="zh-CN"/>
        </w:rPr>
        <w:t>提升本地新能源电力</w:t>
      </w:r>
      <w:r>
        <w:rPr>
          <w:rFonts w:ascii="Times New Roman" w:hAnsi="Times New Roman" w:eastAsia="仿宋" w:cs="Times New Roman"/>
          <w:color w:val="auto"/>
          <w:spacing w:val="-4"/>
          <w:sz w:val="28"/>
          <w:szCs w:val="28"/>
          <w:lang w:eastAsia="zh-CN"/>
        </w:rPr>
        <w:t>消费占比。科学开发草地资源。结合生态红线调整，科学开发草地资源，统筹考虑外送和本地消纳，</w:t>
      </w:r>
      <w:r>
        <w:rPr>
          <w:rFonts w:ascii="Times New Roman" w:hAnsi="Times New Roman" w:eastAsia="仿宋" w:cs="Times New Roman"/>
          <w:color w:val="auto"/>
          <w:spacing w:val="-5"/>
          <w:sz w:val="28"/>
          <w:szCs w:val="28"/>
          <w:lang w:eastAsia="zh-CN"/>
        </w:rPr>
        <w:t>规</w:t>
      </w:r>
      <w:r>
        <w:rPr>
          <w:rFonts w:ascii="Times New Roman" w:hAnsi="Times New Roman" w:eastAsia="仿宋" w:cs="Times New Roman"/>
          <w:color w:val="auto"/>
          <w:spacing w:val="-4"/>
          <w:sz w:val="28"/>
          <w:szCs w:val="28"/>
          <w:lang w:eastAsia="zh-CN"/>
        </w:rPr>
        <w:t>划建设规模化风电基地，积极争取新外送通道配套新</w:t>
      </w:r>
      <w:r>
        <w:rPr>
          <w:rFonts w:ascii="Times New Roman" w:hAnsi="Times New Roman" w:eastAsia="仿宋" w:cs="Times New Roman"/>
          <w:color w:val="auto"/>
          <w:spacing w:val="-5"/>
          <w:sz w:val="28"/>
          <w:szCs w:val="28"/>
          <w:lang w:eastAsia="zh-CN"/>
        </w:rPr>
        <w:t>能源装机。充分利用</w:t>
      </w:r>
      <w:r>
        <w:rPr>
          <w:rFonts w:ascii="Times New Roman" w:hAnsi="Times New Roman" w:eastAsia="仿宋" w:cs="Times New Roman"/>
          <w:color w:val="auto"/>
          <w:spacing w:val="-4"/>
          <w:sz w:val="28"/>
          <w:szCs w:val="28"/>
          <w:lang w:eastAsia="zh-CN"/>
        </w:rPr>
        <w:t>各工业园区内现有厂房、办公楼等建筑物发展分布式</w:t>
      </w:r>
      <w:r>
        <w:rPr>
          <w:rFonts w:ascii="Times New Roman" w:hAnsi="Times New Roman" w:eastAsia="仿宋" w:cs="Times New Roman"/>
          <w:color w:val="auto"/>
          <w:spacing w:val="-5"/>
          <w:sz w:val="28"/>
          <w:szCs w:val="28"/>
          <w:lang w:eastAsia="zh-CN"/>
        </w:rPr>
        <w:t>新能源，建设独立太</w:t>
      </w:r>
      <w:r>
        <w:rPr>
          <w:rFonts w:ascii="Times New Roman" w:hAnsi="Times New Roman" w:eastAsia="仿宋" w:cs="Times New Roman"/>
          <w:color w:val="auto"/>
          <w:spacing w:val="-4"/>
          <w:sz w:val="28"/>
          <w:szCs w:val="28"/>
          <w:lang w:eastAsia="zh-CN"/>
        </w:rPr>
        <w:t>阳能屋顶光伏发电装置；在工业园区周边合理规划建设分布</w:t>
      </w:r>
      <w:r>
        <w:rPr>
          <w:rFonts w:ascii="Times New Roman" w:hAnsi="Times New Roman" w:eastAsia="仿宋" w:cs="Times New Roman"/>
          <w:color w:val="auto"/>
          <w:spacing w:val="-5"/>
          <w:sz w:val="28"/>
          <w:szCs w:val="28"/>
          <w:lang w:eastAsia="zh-CN"/>
        </w:rPr>
        <w:t>式光伏和分散</w:t>
      </w:r>
      <w:r>
        <w:rPr>
          <w:rFonts w:ascii="Times New Roman" w:hAnsi="Times New Roman" w:eastAsia="仿宋" w:cs="Times New Roman"/>
          <w:color w:val="auto"/>
          <w:spacing w:val="-4"/>
          <w:sz w:val="28"/>
          <w:szCs w:val="28"/>
          <w:lang w:eastAsia="zh-CN"/>
        </w:rPr>
        <w:t>式风电，就近为工业园区进行供电；因地制宜发展生物</w:t>
      </w:r>
      <w:r>
        <w:rPr>
          <w:rFonts w:ascii="Times New Roman" w:hAnsi="Times New Roman" w:eastAsia="仿宋" w:cs="Times New Roman"/>
          <w:color w:val="auto"/>
          <w:spacing w:val="-5"/>
          <w:sz w:val="28"/>
          <w:szCs w:val="28"/>
          <w:lang w:eastAsia="zh-CN"/>
        </w:rPr>
        <w:t>质能，鼓励企业投</w:t>
      </w:r>
      <w:r>
        <w:rPr>
          <w:rFonts w:ascii="Times New Roman" w:hAnsi="Times New Roman" w:eastAsia="仿宋" w:cs="Times New Roman"/>
          <w:color w:val="auto"/>
          <w:spacing w:val="-4"/>
          <w:sz w:val="28"/>
          <w:szCs w:val="28"/>
          <w:lang w:eastAsia="zh-CN"/>
        </w:rPr>
        <w:t>资建设</w:t>
      </w:r>
      <w:r>
        <w:rPr>
          <w:rFonts w:ascii="Times New Roman" w:hAnsi="Times New Roman" w:eastAsia="Times New Roman" w:cs="Times New Roman"/>
          <w:color w:val="auto"/>
          <w:spacing w:val="-4"/>
          <w:sz w:val="28"/>
          <w:szCs w:val="28"/>
          <w:lang w:eastAsia="zh-CN"/>
        </w:rPr>
        <w:t>1-2</w:t>
      </w:r>
      <w:r>
        <w:rPr>
          <w:rFonts w:ascii="Times New Roman" w:hAnsi="Times New Roman" w:eastAsia="仿宋" w:cs="Times New Roman"/>
          <w:color w:val="auto"/>
          <w:spacing w:val="-4"/>
          <w:sz w:val="28"/>
          <w:szCs w:val="28"/>
          <w:lang w:eastAsia="zh-CN"/>
        </w:rPr>
        <w:t>座灌木生物质能热电厂，就近接入当地电网。加快开发高端产品，发展</w:t>
      </w:r>
      <w:r>
        <w:rPr>
          <w:rFonts w:ascii="Times New Roman" w:hAnsi="Times New Roman" w:eastAsia="仿宋" w:cs="Times New Roman"/>
          <w:color w:val="auto"/>
          <w:spacing w:val="-5"/>
          <w:sz w:val="28"/>
          <w:szCs w:val="28"/>
          <w:lang w:eastAsia="zh-CN"/>
        </w:rPr>
        <w:t>可降解塑料、茂金属</w:t>
      </w:r>
      <w:r>
        <w:rPr>
          <w:rFonts w:ascii="Times New Roman" w:hAnsi="Times New Roman" w:eastAsia="仿宋" w:cs="Times New Roman"/>
          <w:color w:val="auto"/>
          <w:spacing w:val="-4"/>
          <w:sz w:val="28"/>
          <w:szCs w:val="28"/>
          <w:lang w:eastAsia="zh-CN"/>
        </w:rPr>
        <w:t>聚丙烯等新产品，推动现有产品向下游延伸产业链，</w:t>
      </w:r>
      <w:r>
        <w:rPr>
          <w:rFonts w:ascii="Times New Roman" w:hAnsi="Times New Roman" w:eastAsia="仿宋" w:cs="Times New Roman"/>
          <w:color w:val="auto"/>
          <w:spacing w:val="-5"/>
          <w:sz w:val="28"/>
          <w:szCs w:val="28"/>
          <w:lang w:eastAsia="zh-CN"/>
        </w:rPr>
        <w:t>实现产品层次提档升</w:t>
      </w:r>
      <w:r>
        <w:rPr>
          <w:rFonts w:ascii="Times New Roman" w:hAnsi="Times New Roman" w:eastAsia="仿宋" w:cs="Times New Roman"/>
          <w:color w:val="auto"/>
          <w:spacing w:val="-14"/>
          <w:sz w:val="28"/>
          <w:szCs w:val="28"/>
          <w:lang w:eastAsia="zh-CN"/>
        </w:rPr>
        <w:t>级。</w:t>
      </w:r>
    </w:p>
    <w:p w14:paraId="78C56259">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03" w:name="_Toc183187299"/>
      <w:r>
        <w:rPr>
          <w:rFonts w:ascii="Times New Roman" w:hAnsi="Times New Roman" w:eastAsia="仿宋" w:cs="Times New Roman"/>
          <w:b/>
          <w:bCs/>
          <w:color w:val="auto"/>
          <w:spacing w:val="-2"/>
          <w:sz w:val="28"/>
          <w:szCs w:val="28"/>
          <w:lang w:eastAsia="zh-CN"/>
        </w:rPr>
        <w:t>（三）丰富“旅游+”新业态及健康产业</w:t>
      </w:r>
      <w:bookmarkEnd w:id="503"/>
    </w:p>
    <w:p w14:paraId="475AD855">
      <w:pPr>
        <w:kinsoku/>
        <w:spacing w:line="560" w:lineRule="exact"/>
        <w:ind w:firstLine="561"/>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加大旅游业与生态农牧业、康养、体育等产业深度融合，积极培育发</w:t>
      </w:r>
      <w:r>
        <w:rPr>
          <w:rFonts w:ascii="Times New Roman" w:hAnsi="Times New Roman" w:eastAsia="仿宋" w:cs="Times New Roman"/>
          <w:color w:val="auto"/>
          <w:spacing w:val="-7"/>
          <w:sz w:val="28"/>
          <w:szCs w:val="28"/>
          <w:lang w:eastAsia="zh-CN"/>
        </w:rPr>
        <w:t>展</w:t>
      </w:r>
      <w:r>
        <w:rPr>
          <w:rFonts w:ascii="Times New Roman" w:hAnsi="Times New Roman" w:eastAsia="Times New Roman" w:cs="Times New Roman"/>
          <w:color w:val="auto"/>
          <w:spacing w:val="-7"/>
          <w:sz w:val="28"/>
          <w:szCs w:val="28"/>
          <w:lang w:eastAsia="zh-CN"/>
        </w:rPr>
        <w:t>“</w:t>
      </w:r>
      <w:r>
        <w:rPr>
          <w:rFonts w:ascii="Times New Roman" w:hAnsi="Times New Roman" w:eastAsia="仿宋" w:cs="Times New Roman"/>
          <w:color w:val="auto"/>
          <w:spacing w:val="-7"/>
          <w:sz w:val="28"/>
          <w:szCs w:val="28"/>
          <w:lang w:eastAsia="zh-CN"/>
        </w:rPr>
        <w:t>旅游</w:t>
      </w:r>
      <w:r>
        <w:rPr>
          <w:rFonts w:ascii="Times New Roman" w:hAnsi="Times New Roman" w:eastAsia="Times New Roman" w:cs="Times New Roman"/>
          <w:color w:val="auto"/>
          <w:spacing w:val="-7"/>
          <w:sz w:val="28"/>
          <w:szCs w:val="28"/>
          <w:lang w:eastAsia="zh-CN"/>
        </w:rPr>
        <w:t>+”</w:t>
      </w:r>
      <w:r>
        <w:rPr>
          <w:rFonts w:ascii="Times New Roman" w:hAnsi="Times New Roman" w:eastAsia="仿宋" w:cs="Times New Roman"/>
          <w:color w:val="auto"/>
          <w:spacing w:val="-7"/>
          <w:sz w:val="28"/>
          <w:szCs w:val="28"/>
          <w:lang w:eastAsia="zh-CN"/>
        </w:rPr>
        <w:t>新业态，构建多层次、多功能、立体化的旅游新业态产业体系。</w:t>
      </w:r>
      <w:r>
        <w:rPr>
          <w:rFonts w:ascii="Times New Roman" w:hAnsi="Times New Roman" w:eastAsia="仿宋" w:cs="Times New Roman"/>
          <w:color w:val="auto"/>
          <w:spacing w:val="-8"/>
          <w:sz w:val="28"/>
          <w:szCs w:val="28"/>
          <w:lang w:eastAsia="zh-CN"/>
        </w:rPr>
        <w:t>推进旅游与健康产业融合，大力发展温泉养生、避暑养生等业态，发展</w:t>
      </w:r>
      <w:r>
        <w:rPr>
          <w:rFonts w:ascii="Times New Roman" w:hAnsi="Times New Roman" w:eastAsia="Times New Roman" w:cs="Times New Roman"/>
          <w:color w:val="auto"/>
          <w:spacing w:val="-8"/>
          <w:sz w:val="28"/>
          <w:szCs w:val="28"/>
          <w:lang w:eastAsia="zh-CN"/>
        </w:rPr>
        <w:t>“</w:t>
      </w:r>
      <w:r>
        <w:rPr>
          <w:rFonts w:ascii="Times New Roman" w:hAnsi="Times New Roman" w:eastAsia="仿宋" w:cs="Times New Roman"/>
          <w:color w:val="auto"/>
          <w:spacing w:val="-8"/>
          <w:sz w:val="28"/>
          <w:szCs w:val="28"/>
          <w:lang w:eastAsia="zh-CN"/>
        </w:rPr>
        <w:t>旅</w:t>
      </w:r>
      <w:r>
        <w:rPr>
          <w:rFonts w:ascii="Times New Roman" w:hAnsi="Times New Roman" w:eastAsia="仿宋" w:cs="Times New Roman"/>
          <w:color w:val="auto"/>
          <w:spacing w:val="-4"/>
          <w:sz w:val="28"/>
          <w:szCs w:val="28"/>
          <w:lang w:eastAsia="zh-CN"/>
        </w:rPr>
        <w:t>游</w:t>
      </w:r>
      <w:r>
        <w:rPr>
          <w:rFonts w:ascii="Times New Roman" w:hAnsi="Times New Roman" w:eastAsia="Times New Roman" w:cs="Times New Roman"/>
          <w:color w:val="auto"/>
          <w:spacing w:val="-4"/>
          <w:sz w:val="28"/>
          <w:szCs w:val="28"/>
          <w:lang w:eastAsia="zh-CN"/>
        </w:rPr>
        <w:t>+</w:t>
      </w:r>
      <w:r>
        <w:rPr>
          <w:rFonts w:ascii="Times New Roman" w:hAnsi="Times New Roman" w:eastAsia="仿宋" w:cs="Times New Roman"/>
          <w:color w:val="auto"/>
          <w:spacing w:val="-4"/>
          <w:sz w:val="28"/>
          <w:szCs w:val="28"/>
          <w:lang w:eastAsia="zh-CN"/>
        </w:rPr>
        <w:t>康养</w:t>
      </w:r>
      <w:r>
        <w:rPr>
          <w:rFonts w:ascii="Times New Roman" w:hAnsi="Times New Roman" w:eastAsia="Times New Roman" w:cs="Times New Roman"/>
          <w:color w:val="auto"/>
          <w:spacing w:val="-4"/>
          <w:sz w:val="28"/>
          <w:szCs w:val="28"/>
          <w:lang w:eastAsia="zh-CN"/>
        </w:rPr>
        <w:t>”</w:t>
      </w:r>
      <w:r>
        <w:rPr>
          <w:rFonts w:ascii="Times New Roman" w:hAnsi="Times New Roman" w:eastAsia="仿宋" w:cs="Times New Roman"/>
          <w:color w:val="auto"/>
          <w:spacing w:val="-4"/>
          <w:sz w:val="28"/>
          <w:szCs w:val="28"/>
          <w:lang w:eastAsia="zh-CN"/>
        </w:rPr>
        <w:t>；加强旅游城镇建设，打造主题突出、特色鲜明，有地域及</w:t>
      </w:r>
      <w:r>
        <w:rPr>
          <w:rFonts w:ascii="Times New Roman" w:hAnsi="Times New Roman" w:eastAsia="仿宋" w:cs="Times New Roman"/>
          <w:color w:val="auto"/>
          <w:spacing w:val="-5"/>
          <w:sz w:val="28"/>
          <w:szCs w:val="28"/>
          <w:lang w:eastAsia="zh-CN"/>
        </w:rPr>
        <w:t>民族</w:t>
      </w:r>
      <w:r>
        <w:rPr>
          <w:rFonts w:ascii="Times New Roman" w:hAnsi="Times New Roman" w:eastAsia="仿宋" w:cs="Times New Roman"/>
          <w:color w:val="auto"/>
          <w:spacing w:val="-1"/>
          <w:sz w:val="28"/>
          <w:szCs w:val="28"/>
          <w:lang w:eastAsia="zh-CN"/>
        </w:rPr>
        <w:t>特点的旅游小镇，发展</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旅游</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新型城镇化</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；大力发展观光休闲农业，创新发展田园艺术景观等创意农业和精致农业，发展</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旅游</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农业</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。以健康管理、康复护理、养生养老等健康服务业为核心，建立覆</w:t>
      </w:r>
      <w:r>
        <w:rPr>
          <w:rFonts w:ascii="Times New Roman" w:hAnsi="Times New Roman" w:eastAsia="仿宋" w:cs="Times New Roman"/>
          <w:color w:val="auto"/>
          <w:spacing w:val="-2"/>
          <w:sz w:val="28"/>
          <w:szCs w:val="28"/>
          <w:lang w:eastAsia="zh-CN"/>
        </w:rPr>
        <w:t>盖全生命周期、</w:t>
      </w:r>
      <w:r>
        <w:rPr>
          <w:rFonts w:ascii="Times New Roman" w:hAnsi="Times New Roman" w:eastAsia="仿宋" w:cs="Times New Roman"/>
          <w:color w:val="auto"/>
          <w:spacing w:val="-3"/>
          <w:sz w:val="28"/>
          <w:szCs w:val="28"/>
          <w:lang w:eastAsia="zh-CN"/>
        </w:rPr>
        <w:t>内涵丰富、结构合理的健康服务业体系。</w:t>
      </w:r>
      <w:r>
        <w:rPr>
          <w:rFonts w:ascii="Times New Roman" w:hAnsi="Times New Roman" w:eastAsia="仿宋" w:cs="Times New Roman"/>
          <w:color w:val="auto"/>
          <w:spacing w:val="-4"/>
          <w:sz w:val="28"/>
          <w:szCs w:val="28"/>
          <w:lang w:eastAsia="zh-CN"/>
        </w:rPr>
        <w:t>全力打</w:t>
      </w:r>
      <w:r>
        <w:rPr>
          <w:rFonts w:ascii="Times New Roman" w:hAnsi="Times New Roman" w:eastAsia="仿宋" w:cs="Times New Roman"/>
          <w:color w:val="auto"/>
          <w:spacing w:val="-5"/>
          <w:sz w:val="28"/>
          <w:szCs w:val="28"/>
          <w:lang w:eastAsia="zh-CN"/>
        </w:rPr>
        <w:t>造综合性健康生活圈</w:t>
      </w:r>
      <w:r>
        <w:rPr>
          <w:rFonts w:ascii="Times New Roman" w:hAnsi="Times New Roman" w:eastAsia="仿宋" w:cs="Times New Roman"/>
          <w:color w:val="auto"/>
          <w:spacing w:val="-4"/>
          <w:sz w:val="28"/>
          <w:szCs w:val="28"/>
          <w:lang w:eastAsia="zh-CN"/>
        </w:rPr>
        <w:t>和区域性医养中心，发展候鸟式养老旅行疗养、运</w:t>
      </w:r>
      <w:r>
        <w:rPr>
          <w:rFonts w:ascii="Times New Roman" w:hAnsi="Times New Roman" w:eastAsia="仿宋" w:cs="Times New Roman"/>
          <w:color w:val="auto"/>
          <w:spacing w:val="-5"/>
          <w:sz w:val="28"/>
          <w:szCs w:val="28"/>
          <w:lang w:eastAsia="zh-CN"/>
        </w:rPr>
        <w:t>动体验游、多功能健身</w:t>
      </w:r>
      <w:r>
        <w:rPr>
          <w:rFonts w:ascii="Times New Roman" w:hAnsi="Times New Roman" w:eastAsia="仿宋" w:cs="Times New Roman"/>
          <w:color w:val="auto"/>
          <w:spacing w:val="-4"/>
          <w:sz w:val="28"/>
          <w:szCs w:val="28"/>
          <w:lang w:eastAsia="zh-CN"/>
        </w:rPr>
        <w:t>等康养新业态和新模式；大力发展沙棘饮品、</w:t>
      </w:r>
      <w:r>
        <w:rPr>
          <w:rFonts w:ascii="Times New Roman" w:hAnsi="Times New Roman" w:eastAsia="仿宋" w:cs="Times New Roman"/>
          <w:color w:val="auto"/>
          <w:spacing w:val="-5"/>
          <w:sz w:val="28"/>
          <w:szCs w:val="28"/>
          <w:lang w:eastAsia="zh-CN"/>
        </w:rPr>
        <w:t>生</w:t>
      </w:r>
      <w:r>
        <w:rPr>
          <w:rFonts w:ascii="Times New Roman" w:hAnsi="Times New Roman" w:eastAsia="仿宋" w:cs="Times New Roman"/>
          <w:color w:val="auto"/>
          <w:spacing w:val="-2"/>
          <w:sz w:val="28"/>
          <w:szCs w:val="28"/>
          <w:lang w:eastAsia="zh-CN"/>
        </w:rPr>
        <w:t>物药品、奶制品、特色肉食保健品等地方特色健康食品产业。</w:t>
      </w:r>
    </w:p>
    <w:p w14:paraId="032A1338">
      <w:pPr>
        <w:pStyle w:val="3"/>
        <w:rPr>
          <w:rFonts w:ascii="Times New Roman" w:hAnsi="Times New Roman" w:cs="Times New Roman"/>
          <w:color w:val="auto"/>
          <w:lang w:eastAsia="zh-CN"/>
        </w:rPr>
      </w:pPr>
      <w:bookmarkStart w:id="504" w:name="bookmark76"/>
      <w:bookmarkEnd w:id="504"/>
      <w:bookmarkStart w:id="505" w:name="bookmark75"/>
      <w:bookmarkEnd w:id="505"/>
      <w:bookmarkStart w:id="506" w:name="_Toc183187300"/>
      <w:r>
        <w:rPr>
          <w:rFonts w:ascii="Times New Roman" w:hAnsi="Times New Roman" w:cs="Times New Roman"/>
          <w:color w:val="auto"/>
          <w:lang w:eastAsia="zh-CN"/>
        </w:rPr>
        <w:t>三、双措施促进能源结构优化</w:t>
      </w:r>
      <w:bookmarkEnd w:id="506"/>
    </w:p>
    <w:p w14:paraId="002FF2C3">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07" w:name="_Toc183187301"/>
      <w:r>
        <w:rPr>
          <w:rFonts w:ascii="Times New Roman" w:hAnsi="Times New Roman" w:eastAsia="仿宋" w:cs="Times New Roman"/>
          <w:b/>
          <w:bCs/>
          <w:color w:val="auto"/>
          <w:spacing w:val="-2"/>
          <w:sz w:val="28"/>
          <w:szCs w:val="28"/>
          <w:lang w:eastAsia="zh-CN"/>
        </w:rPr>
        <w:t>（一）实施煤炭消费总量控制</w:t>
      </w:r>
      <w:bookmarkEnd w:id="507"/>
    </w:p>
    <w:p w14:paraId="4A80C4C9">
      <w:pPr>
        <w:spacing w:line="560" w:lineRule="exact"/>
        <w:ind w:firstLine="561"/>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根据能源消费总量控制目标，综合考虑社会经济发展水平、能源消费</w:t>
      </w:r>
      <w:r>
        <w:rPr>
          <w:rFonts w:ascii="Times New Roman" w:hAnsi="Times New Roman" w:eastAsia="仿宋" w:cs="Times New Roman"/>
          <w:color w:val="auto"/>
          <w:spacing w:val="-13"/>
          <w:sz w:val="28"/>
          <w:szCs w:val="28"/>
          <w:lang w:eastAsia="zh-CN"/>
        </w:rPr>
        <w:t>特征、大气污染现状、产业结构优化等因素，严格控制区域煤炭消费总量，</w:t>
      </w:r>
      <w:r>
        <w:rPr>
          <w:rFonts w:ascii="Times New Roman" w:hAnsi="Times New Roman" w:eastAsia="仿宋" w:cs="Times New Roman"/>
          <w:color w:val="auto"/>
          <w:spacing w:val="-4"/>
          <w:sz w:val="28"/>
          <w:szCs w:val="28"/>
          <w:lang w:eastAsia="zh-CN"/>
        </w:rPr>
        <w:t>制定实施全旗燃煤消耗量具体控制措施，建立能源消费总量</w:t>
      </w:r>
      <w:r>
        <w:rPr>
          <w:rFonts w:ascii="Times New Roman" w:hAnsi="Times New Roman" w:eastAsia="仿宋" w:cs="Times New Roman"/>
          <w:color w:val="auto"/>
          <w:spacing w:val="-5"/>
          <w:sz w:val="28"/>
          <w:szCs w:val="28"/>
          <w:lang w:eastAsia="zh-CN"/>
        </w:rPr>
        <w:t>监测体系和预</w:t>
      </w:r>
      <w:r>
        <w:rPr>
          <w:rFonts w:ascii="Times New Roman" w:hAnsi="Times New Roman" w:eastAsia="仿宋" w:cs="Times New Roman"/>
          <w:color w:val="auto"/>
          <w:spacing w:val="-2"/>
          <w:sz w:val="28"/>
          <w:szCs w:val="28"/>
          <w:lang w:eastAsia="zh-CN"/>
        </w:rPr>
        <w:t>测预警机制，对能源消费总量增长过快的地方和重点企业及时预警调控，</w:t>
      </w:r>
      <w:r>
        <w:rPr>
          <w:rFonts w:ascii="Times New Roman" w:hAnsi="Times New Roman" w:eastAsia="仿宋" w:cs="Times New Roman"/>
          <w:color w:val="auto"/>
          <w:spacing w:val="-4"/>
          <w:sz w:val="28"/>
          <w:szCs w:val="28"/>
          <w:lang w:eastAsia="zh-CN"/>
        </w:rPr>
        <w:t>全面加强工业领域用能管理。把煤炭消费总量指标作为项目</w:t>
      </w:r>
      <w:r>
        <w:rPr>
          <w:rFonts w:ascii="Times New Roman" w:hAnsi="Times New Roman" w:eastAsia="仿宋" w:cs="Times New Roman"/>
          <w:color w:val="auto"/>
          <w:spacing w:val="-5"/>
          <w:sz w:val="28"/>
          <w:szCs w:val="28"/>
          <w:lang w:eastAsia="zh-CN"/>
        </w:rPr>
        <w:t>审批的前置条</w:t>
      </w:r>
      <w:r>
        <w:rPr>
          <w:rFonts w:ascii="Times New Roman" w:hAnsi="Times New Roman" w:eastAsia="仿宋" w:cs="Times New Roman"/>
          <w:color w:val="auto"/>
          <w:spacing w:val="-4"/>
          <w:sz w:val="28"/>
          <w:szCs w:val="28"/>
          <w:lang w:eastAsia="zh-CN"/>
        </w:rPr>
        <w:t>件，新建、改建、扩建项目实现煤炭消费等量或减量替代</w:t>
      </w:r>
      <w:r>
        <w:rPr>
          <w:rFonts w:ascii="Times New Roman" w:hAnsi="Times New Roman" w:eastAsia="仿宋" w:cs="Times New Roman"/>
          <w:color w:val="auto"/>
          <w:spacing w:val="-5"/>
          <w:sz w:val="28"/>
          <w:szCs w:val="28"/>
          <w:lang w:eastAsia="zh-CN"/>
        </w:rPr>
        <w:t>。积极探索能源</w:t>
      </w:r>
      <w:r>
        <w:rPr>
          <w:rFonts w:ascii="Times New Roman" w:hAnsi="Times New Roman" w:eastAsia="仿宋" w:cs="Times New Roman"/>
          <w:color w:val="auto"/>
          <w:spacing w:val="-4"/>
          <w:sz w:val="28"/>
          <w:szCs w:val="28"/>
          <w:lang w:eastAsia="zh-CN"/>
        </w:rPr>
        <w:t>利用率提升技术，延伸能源使用行业产业链，扩大单位能源</w:t>
      </w:r>
      <w:r>
        <w:rPr>
          <w:rFonts w:ascii="Times New Roman" w:hAnsi="Times New Roman" w:eastAsia="仿宋" w:cs="Times New Roman"/>
          <w:color w:val="auto"/>
          <w:spacing w:val="-5"/>
          <w:sz w:val="28"/>
          <w:szCs w:val="28"/>
          <w:lang w:eastAsia="zh-CN"/>
        </w:rPr>
        <w:t>使用量的经济</w:t>
      </w:r>
      <w:r>
        <w:rPr>
          <w:rFonts w:ascii="Times New Roman" w:hAnsi="Times New Roman" w:eastAsia="仿宋" w:cs="Times New Roman"/>
          <w:color w:val="auto"/>
          <w:spacing w:val="-1"/>
          <w:sz w:val="28"/>
          <w:szCs w:val="28"/>
          <w:lang w:eastAsia="zh-CN"/>
        </w:rPr>
        <w:t>产出，提高工业产业能源使用效率。</w:t>
      </w:r>
    </w:p>
    <w:p w14:paraId="490A285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08" w:name="_Toc183187302"/>
      <w:r>
        <w:rPr>
          <w:rFonts w:ascii="Times New Roman" w:hAnsi="Times New Roman" w:eastAsia="仿宋" w:cs="Times New Roman"/>
          <w:b/>
          <w:bCs/>
          <w:color w:val="auto"/>
          <w:spacing w:val="-2"/>
          <w:sz w:val="28"/>
          <w:szCs w:val="28"/>
          <w:lang w:eastAsia="zh-CN"/>
        </w:rPr>
        <w:t>（二）提高清洁能源使用比例</w:t>
      </w:r>
      <w:bookmarkEnd w:id="508"/>
    </w:p>
    <w:p w14:paraId="25BB16BC">
      <w:pPr>
        <w:spacing w:line="560" w:lineRule="exact"/>
        <w:ind w:firstLine="562"/>
        <w:jc w:val="both"/>
        <w:rPr>
          <w:rFonts w:ascii="Times New Roman" w:hAnsi="Times New Roman" w:eastAsia="仿宋" w:cs="Times New Roman"/>
          <w:color w:val="auto"/>
          <w:spacing w:val="-5"/>
          <w:sz w:val="28"/>
          <w:szCs w:val="28"/>
          <w:lang w:eastAsia="zh-CN"/>
        </w:rPr>
      </w:pPr>
      <w:r>
        <w:rPr>
          <w:rFonts w:ascii="Times New Roman" w:hAnsi="Times New Roman" w:eastAsia="仿宋" w:cs="Times New Roman"/>
          <w:color w:val="auto"/>
          <w:spacing w:val="-5"/>
          <w:sz w:val="28"/>
          <w:szCs w:val="28"/>
          <w:lang w:eastAsia="zh-CN"/>
        </w:rPr>
        <w:t>积极调整能源结构，提高清洁能源使用比例。因地制宜选择适宜的清洁能源种类，提高清洁能源的本地适配性。加强清洁能源配套设施建设，减少清洁能源落地障碍，推进清洁能源项目进程。</w:t>
      </w:r>
    </w:p>
    <w:p w14:paraId="1563DE73">
      <w:pPr>
        <w:spacing w:line="560" w:lineRule="exact"/>
        <w:ind w:firstLine="562"/>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积极</w:t>
      </w:r>
      <w:r>
        <w:rPr>
          <w:rFonts w:ascii="Times New Roman" w:hAnsi="Times New Roman" w:eastAsia="仿宋" w:cs="Times New Roman"/>
          <w:color w:val="auto"/>
          <w:spacing w:val="1"/>
          <w:sz w:val="28"/>
          <w:szCs w:val="28"/>
          <w:lang w:eastAsia="zh-CN"/>
        </w:rPr>
        <w:t>推进燃煤综合整治，综合治理城市建成区和城乡结合部燃煤，</w:t>
      </w:r>
      <w:r>
        <w:rPr>
          <w:rFonts w:ascii="Times New Roman" w:hAnsi="Times New Roman" w:eastAsia="仿宋" w:cs="Times New Roman"/>
          <w:color w:val="auto"/>
          <w:sz w:val="28"/>
          <w:szCs w:val="28"/>
          <w:lang w:eastAsia="zh-CN"/>
        </w:rPr>
        <w:t>加大</w:t>
      </w:r>
      <w:r>
        <w:rPr>
          <w:rFonts w:ascii="Times New Roman" w:hAnsi="Times New Roman" w:eastAsia="Times New Roman" w:cs="Times New Roman"/>
          <w:color w:val="auto"/>
          <w:sz w:val="28"/>
          <w:szCs w:val="28"/>
          <w:lang w:eastAsia="zh-CN"/>
        </w:rPr>
        <w:t>“</w:t>
      </w:r>
      <w:r>
        <w:rPr>
          <w:rFonts w:ascii="Times New Roman" w:hAnsi="Times New Roman" w:eastAsia="仿宋" w:cs="Times New Roman"/>
          <w:color w:val="auto"/>
          <w:sz w:val="28"/>
          <w:szCs w:val="28"/>
          <w:lang w:eastAsia="zh-CN"/>
        </w:rPr>
        <w:t>城中</w:t>
      </w:r>
      <w:r>
        <w:rPr>
          <w:rFonts w:ascii="Times New Roman" w:hAnsi="Times New Roman" w:eastAsia="仿宋" w:cs="Times New Roman"/>
          <w:color w:val="auto"/>
          <w:spacing w:val="1"/>
          <w:sz w:val="28"/>
          <w:szCs w:val="28"/>
          <w:lang w:eastAsia="zh-CN"/>
        </w:rPr>
        <w:t>村、棚户区</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改造力度，加快城镇供热管网建设，淘汰管网</w:t>
      </w:r>
      <w:r>
        <w:rPr>
          <w:rFonts w:ascii="Times New Roman" w:hAnsi="Times New Roman" w:eastAsia="仿宋" w:cs="Times New Roman"/>
          <w:color w:val="auto"/>
          <w:sz w:val="28"/>
          <w:szCs w:val="28"/>
          <w:lang w:eastAsia="zh-CN"/>
        </w:rPr>
        <w:t>覆盖内的燃煤</w:t>
      </w:r>
      <w:r>
        <w:rPr>
          <w:rFonts w:ascii="Times New Roman" w:hAnsi="Times New Roman" w:eastAsia="仿宋" w:cs="Times New Roman"/>
          <w:color w:val="auto"/>
          <w:spacing w:val="-3"/>
          <w:sz w:val="28"/>
          <w:szCs w:val="28"/>
          <w:lang w:eastAsia="zh-CN"/>
        </w:rPr>
        <w:t>锅炉和散煤，对集中供热难以覆盖的区域，采用</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煤改电、煤改气</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等清洁</w:t>
      </w:r>
      <w:r>
        <w:rPr>
          <w:rFonts w:ascii="Times New Roman" w:hAnsi="Times New Roman" w:eastAsia="仿宋" w:cs="Times New Roman"/>
          <w:color w:val="auto"/>
          <w:spacing w:val="-5"/>
          <w:sz w:val="28"/>
          <w:szCs w:val="28"/>
          <w:lang w:eastAsia="zh-CN"/>
        </w:rPr>
        <w:t>能源方式进行替代，解决燃煤散烧的问题。</w:t>
      </w:r>
    </w:p>
    <w:p w14:paraId="3359A570">
      <w:pPr>
        <w:pStyle w:val="3"/>
        <w:rPr>
          <w:rFonts w:ascii="Times New Roman" w:hAnsi="Times New Roman" w:cs="Times New Roman"/>
          <w:color w:val="auto"/>
          <w:lang w:eastAsia="zh-CN"/>
        </w:rPr>
      </w:pPr>
      <w:bookmarkStart w:id="509" w:name="bookmark78"/>
      <w:bookmarkEnd w:id="509"/>
      <w:bookmarkStart w:id="510" w:name="bookmark77"/>
      <w:bookmarkEnd w:id="510"/>
      <w:bookmarkStart w:id="511" w:name="_Toc183187303"/>
      <w:r>
        <w:rPr>
          <w:rFonts w:ascii="Times New Roman" w:hAnsi="Times New Roman" w:cs="Times New Roman"/>
          <w:color w:val="auto"/>
          <w:lang w:eastAsia="zh-CN"/>
        </w:rPr>
        <w:t>四、分层次调整运输物流体系</w:t>
      </w:r>
      <w:bookmarkEnd w:id="511"/>
    </w:p>
    <w:p w14:paraId="112C945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12" w:name="_Toc183187304"/>
      <w:r>
        <w:rPr>
          <w:rFonts w:ascii="Times New Roman" w:hAnsi="Times New Roman" w:eastAsia="仿宋" w:cs="Times New Roman"/>
          <w:b/>
          <w:bCs/>
          <w:color w:val="auto"/>
          <w:spacing w:val="-2"/>
          <w:sz w:val="28"/>
          <w:szCs w:val="28"/>
          <w:lang w:eastAsia="zh-CN"/>
        </w:rPr>
        <w:t>（一）构建陆路交通运输新格局</w:t>
      </w:r>
      <w:bookmarkEnd w:id="512"/>
    </w:p>
    <w:p w14:paraId="7644124A">
      <w:pPr>
        <w:spacing w:line="560" w:lineRule="exact"/>
        <w:ind w:firstLine="563"/>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推进基础设施互联互通，建设陆路交通运输新格局。推进基础设施互联互通，完善境内国道305线、306线和省道206线纵贯南北，省道304线横贯东西，丹锡高速公路、赤大白铁路和巴新铁路与全国高速公路网和铁路网贯通，玉龙沙湖旅游路、红山湖旅游路、灯笼河至磨石沟旅游路、乌白路、乌浩路等旗内路网。</w:t>
      </w:r>
    </w:p>
    <w:p w14:paraId="2C7E99A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13" w:name="_Toc183187305"/>
      <w:r>
        <w:rPr>
          <w:rFonts w:ascii="Times New Roman" w:hAnsi="Times New Roman" w:eastAsia="仿宋" w:cs="Times New Roman"/>
          <w:b/>
          <w:bCs/>
          <w:color w:val="auto"/>
          <w:spacing w:val="-2"/>
          <w:sz w:val="28"/>
          <w:szCs w:val="28"/>
          <w:lang w:eastAsia="zh-CN"/>
        </w:rPr>
        <w:t>（二）发展专业化综合物流体系</w:t>
      </w:r>
      <w:bookmarkEnd w:id="513"/>
    </w:p>
    <w:p w14:paraId="0FDA0778">
      <w:pPr>
        <w:spacing w:line="560" w:lineRule="exact"/>
        <w:ind w:firstLine="559"/>
        <w:jc w:val="both"/>
        <w:rPr>
          <w:rFonts w:ascii="Times New Roman" w:hAnsi="Times New Roman" w:eastAsia="仿宋" w:cs="Times New Roman"/>
          <w:color w:val="auto"/>
          <w:spacing w:val="-3"/>
          <w:sz w:val="28"/>
          <w:szCs w:val="28"/>
          <w:lang w:eastAsia="zh-CN"/>
        </w:rPr>
      </w:pPr>
      <w:r>
        <w:rPr>
          <w:rFonts w:ascii="Times New Roman" w:hAnsi="Times New Roman" w:eastAsia="仿宋" w:cs="Times New Roman"/>
          <w:color w:val="auto"/>
          <w:spacing w:val="-3"/>
          <w:sz w:val="28"/>
          <w:szCs w:val="28"/>
          <w:lang w:eastAsia="zh-CN"/>
        </w:rPr>
        <w:t>围绕翁牛特旗物流体系，大力发展翁牛特旗现代物流业。将物流业作为推动产业转型、带动三产发展的重要突破口，优先发展生产性物流业，提升物流业现代化水平，推动物流业与重点产业深度融合发展。</w:t>
      </w:r>
    </w:p>
    <w:p w14:paraId="3A5D51F9">
      <w:pPr>
        <w:spacing w:line="560" w:lineRule="exact"/>
        <w:ind w:firstLine="559"/>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3"/>
          <w:sz w:val="28"/>
          <w:szCs w:val="28"/>
          <w:lang w:eastAsia="zh-CN"/>
        </w:rPr>
        <w:t>发展专业化综合物流体系。规划建设货运专线正线2.2千米，可与赤大白线、锡乌线、霍白线、锦白线、集通线、京通线、巴新线等多条铁路贯通全国乃至中欧，预计初期（2025年）、近期（2030年）、远期（2040年）货运量分别可达209万吨、259万吨和307万吨。围绕翁牛特旗工业布局，加快发展煤炭、化工、建材、装备、冷链等专业物流。</w:t>
      </w:r>
    </w:p>
    <w:p w14:paraId="291E8CF5">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14" w:name="_Toc183187306"/>
      <w:r>
        <w:rPr>
          <w:rFonts w:ascii="Times New Roman" w:hAnsi="Times New Roman" w:eastAsia="仿宋" w:cs="Times New Roman"/>
          <w:b/>
          <w:bCs/>
          <w:color w:val="auto"/>
          <w:spacing w:val="-2"/>
          <w:sz w:val="28"/>
          <w:szCs w:val="28"/>
          <w:lang w:eastAsia="zh-CN"/>
        </w:rPr>
        <w:t>（三）探索物流综合服务新模式</w:t>
      </w:r>
      <w:bookmarkEnd w:id="514"/>
    </w:p>
    <w:p w14:paraId="14126222">
      <w:pPr>
        <w:spacing w:line="560" w:lineRule="exact"/>
        <w:ind w:firstLine="556"/>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5"/>
          <w:sz w:val="28"/>
          <w:szCs w:val="28"/>
          <w:lang w:eastAsia="zh-CN"/>
        </w:rPr>
        <w:t>积极发展具备物流一体化解决方案，具有供应链设计、咨询、管理能</w:t>
      </w:r>
      <w:r>
        <w:rPr>
          <w:rFonts w:ascii="Times New Roman" w:hAnsi="Times New Roman" w:eastAsia="仿宋" w:cs="Times New Roman"/>
          <w:color w:val="auto"/>
          <w:spacing w:val="1"/>
          <w:sz w:val="28"/>
          <w:szCs w:val="28"/>
          <w:lang w:eastAsia="zh-CN"/>
        </w:rPr>
        <w:t>力的第四方物流，推行集仓储、货代、运输、交易</w:t>
      </w:r>
      <w:r>
        <w:rPr>
          <w:rFonts w:ascii="Times New Roman" w:hAnsi="Times New Roman" w:eastAsia="仿宋" w:cs="Times New Roman"/>
          <w:color w:val="auto"/>
          <w:sz w:val="28"/>
          <w:szCs w:val="28"/>
          <w:lang w:eastAsia="zh-CN"/>
        </w:rPr>
        <w:t>、融资为一体的</w:t>
      </w:r>
      <w:r>
        <w:rPr>
          <w:rFonts w:ascii="Times New Roman" w:hAnsi="Times New Roman" w:eastAsia="Times New Roman" w:cs="Times New Roman"/>
          <w:color w:val="auto"/>
          <w:sz w:val="28"/>
          <w:szCs w:val="28"/>
          <w:lang w:eastAsia="zh-CN"/>
        </w:rPr>
        <w:t>“</w:t>
      </w:r>
      <w:r>
        <w:rPr>
          <w:rFonts w:ascii="Times New Roman" w:hAnsi="Times New Roman" w:eastAsia="仿宋" w:cs="Times New Roman"/>
          <w:color w:val="auto"/>
          <w:sz w:val="28"/>
          <w:szCs w:val="28"/>
          <w:lang w:eastAsia="zh-CN"/>
        </w:rPr>
        <w:t>物流</w:t>
      </w:r>
      <w:r>
        <w:rPr>
          <w:rFonts w:ascii="Times New Roman" w:hAnsi="Times New Roman" w:eastAsia="仿宋" w:cs="Times New Roman"/>
          <w:color w:val="auto"/>
          <w:spacing w:val="1"/>
          <w:sz w:val="28"/>
          <w:szCs w:val="28"/>
          <w:lang w:eastAsia="zh-CN"/>
        </w:rPr>
        <w:t>+资金流＋信息流</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综合服务模式。加快推动</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z w:val="28"/>
          <w:szCs w:val="28"/>
          <w:lang w:eastAsia="zh-CN"/>
        </w:rPr>
        <w:t>互联网</w:t>
      </w:r>
      <w:r>
        <w:rPr>
          <w:rFonts w:ascii="Times New Roman" w:hAnsi="Times New Roman" w:eastAsia="Times New Roman" w:cs="Times New Roman"/>
          <w:color w:val="auto"/>
          <w:sz w:val="28"/>
          <w:szCs w:val="28"/>
          <w:lang w:eastAsia="zh-CN"/>
        </w:rPr>
        <w:t>+”</w:t>
      </w:r>
      <w:r>
        <w:rPr>
          <w:rFonts w:ascii="Times New Roman" w:hAnsi="Times New Roman" w:eastAsia="仿宋" w:cs="Times New Roman"/>
          <w:color w:val="auto"/>
          <w:sz w:val="28"/>
          <w:szCs w:val="28"/>
          <w:lang w:eastAsia="zh-CN"/>
        </w:rPr>
        <w:t>高效物流发展，应</w:t>
      </w:r>
      <w:r>
        <w:rPr>
          <w:rFonts w:ascii="Times New Roman" w:hAnsi="Times New Roman" w:eastAsia="仿宋" w:cs="Times New Roman"/>
          <w:color w:val="auto"/>
          <w:spacing w:val="-4"/>
          <w:sz w:val="28"/>
          <w:szCs w:val="28"/>
          <w:lang w:eastAsia="zh-CN"/>
        </w:rPr>
        <w:t>用北斗导航、物联网、云计算、大数据、移动互联等先进信息技术</w:t>
      </w:r>
      <w:r>
        <w:rPr>
          <w:rFonts w:ascii="Times New Roman" w:hAnsi="Times New Roman" w:eastAsia="仿宋" w:cs="Times New Roman"/>
          <w:color w:val="auto"/>
          <w:spacing w:val="-5"/>
          <w:sz w:val="28"/>
          <w:szCs w:val="28"/>
          <w:lang w:eastAsia="zh-CN"/>
        </w:rPr>
        <w:t>，实现</w:t>
      </w:r>
      <w:r>
        <w:rPr>
          <w:rFonts w:ascii="Times New Roman" w:hAnsi="Times New Roman" w:eastAsia="仿宋" w:cs="Times New Roman"/>
          <w:color w:val="auto"/>
          <w:spacing w:val="-2"/>
          <w:sz w:val="28"/>
          <w:szCs w:val="28"/>
          <w:lang w:eastAsia="zh-CN"/>
        </w:rPr>
        <w:t>物流业全程透明、智能管理。</w:t>
      </w:r>
    </w:p>
    <w:p w14:paraId="204B5EA3">
      <w:pPr>
        <w:pStyle w:val="3"/>
        <w:rPr>
          <w:rFonts w:ascii="Times New Roman" w:hAnsi="Times New Roman" w:eastAsia="仿宋_GB2312" w:cs="Times New Roman"/>
          <w:color w:val="auto"/>
          <w:sz w:val="31"/>
          <w:szCs w:val="31"/>
          <w:lang w:eastAsia="zh-CN"/>
        </w:rPr>
      </w:pPr>
      <w:bookmarkStart w:id="515" w:name="bookmark80"/>
      <w:bookmarkEnd w:id="515"/>
      <w:bookmarkStart w:id="516" w:name="bookmark79"/>
      <w:bookmarkEnd w:id="516"/>
      <w:bookmarkStart w:id="517" w:name="_Toc183187307"/>
      <w:r>
        <w:rPr>
          <w:rFonts w:ascii="Times New Roman" w:hAnsi="Times New Roman" w:cs="Times New Roman"/>
          <w:color w:val="auto"/>
          <w:lang w:eastAsia="zh-CN"/>
        </w:rPr>
        <w:t>五、多系统提高清洁生产水平</w:t>
      </w:r>
      <w:bookmarkEnd w:id="517"/>
    </w:p>
    <w:p w14:paraId="067A541B">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18" w:name="_Toc183187308"/>
      <w:r>
        <w:rPr>
          <w:rFonts w:ascii="Times New Roman" w:hAnsi="Times New Roman" w:eastAsia="仿宋" w:cs="Times New Roman"/>
          <w:b/>
          <w:bCs/>
          <w:color w:val="auto"/>
          <w:spacing w:val="-2"/>
          <w:sz w:val="28"/>
          <w:szCs w:val="28"/>
          <w:lang w:eastAsia="zh-CN"/>
        </w:rPr>
        <w:t>（一）推动农牧业清洁化生产</w:t>
      </w:r>
      <w:bookmarkEnd w:id="518"/>
    </w:p>
    <w:p w14:paraId="1DF94ED3">
      <w:pPr>
        <w:spacing w:line="560" w:lineRule="exact"/>
        <w:ind w:firstLine="565"/>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4"/>
          <w:sz w:val="28"/>
          <w:szCs w:val="28"/>
          <w:lang w:eastAsia="zh-CN"/>
        </w:rPr>
        <w:t>实施</w:t>
      </w:r>
      <w:r>
        <w:rPr>
          <w:rFonts w:ascii="Times New Roman" w:hAnsi="Times New Roman" w:eastAsia="Times New Roman" w:cs="Times New Roman"/>
          <w:color w:val="auto"/>
          <w:spacing w:val="-4"/>
          <w:sz w:val="28"/>
          <w:szCs w:val="28"/>
          <w:lang w:eastAsia="zh-CN"/>
        </w:rPr>
        <w:t>“</w:t>
      </w:r>
      <w:r>
        <w:rPr>
          <w:rFonts w:ascii="Times New Roman" w:hAnsi="Times New Roman" w:eastAsia="仿宋" w:cs="Times New Roman"/>
          <w:color w:val="auto"/>
          <w:spacing w:val="-4"/>
          <w:sz w:val="28"/>
          <w:szCs w:val="28"/>
          <w:lang w:eastAsia="zh-CN"/>
        </w:rPr>
        <w:t>化肥负增长行动</w:t>
      </w:r>
      <w:r>
        <w:rPr>
          <w:rFonts w:ascii="Times New Roman" w:hAnsi="Times New Roman" w:eastAsia="Times New Roman" w:cs="Times New Roman"/>
          <w:color w:val="auto"/>
          <w:spacing w:val="-4"/>
          <w:sz w:val="28"/>
          <w:szCs w:val="28"/>
          <w:lang w:eastAsia="zh-CN"/>
        </w:rPr>
        <w:t>”</w:t>
      </w:r>
      <w:r>
        <w:rPr>
          <w:rFonts w:ascii="Times New Roman" w:hAnsi="Times New Roman" w:eastAsia="仿宋" w:cs="Times New Roman"/>
          <w:color w:val="auto"/>
          <w:spacing w:val="-4"/>
          <w:sz w:val="28"/>
          <w:szCs w:val="28"/>
          <w:lang w:eastAsia="zh-CN"/>
        </w:rPr>
        <w:t>，推进测土配方施肥、水肥一体化和有机肥替</w:t>
      </w:r>
      <w:r>
        <w:rPr>
          <w:rFonts w:ascii="Times New Roman" w:hAnsi="Times New Roman" w:eastAsia="仿宋" w:cs="Times New Roman"/>
          <w:color w:val="auto"/>
          <w:spacing w:val="-3"/>
          <w:sz w:val="28"/>
          <w:szCs w:val="28"/>
          <w:lang w:eastAsia="zh-CN"/>
        </w:rPr>
        <w:t>代化肥。根据各苏木乡镇特点，分作物</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量身定制</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一批化肥减量增效技术模</w:t>
      </w:r>
      <w:r>
        <w:rPr>
          <w:rFonts w:ascii="Times New Roman" w:hAnsi="Times New Roman" w:eastAsia="仿宋" w:cs="Times New Roman"/>
          <w:color w:val="auto"/>
          <w:spacing w:val="-4"/>
          <w:sz w:val="28"/>
          <w:szCs w:val="28"/>
          <w:lang w:eastAsia="zh-CN"/>
        </w:rPr>
        <w:t>式，应用专用配方肥、水溶性肥料、生物肥料等新型</w:t>
      </w:r>
      <w:r>
        <w:rPr>
          <w:rFonts w:ascii="Times New Roman" w:hAnsi="Times New Roman" w:eastAsia="仿宋" w:cs="Times New Roman"/>
          <w:color w:val="auto"/>
          <w:spacing w:val="-5"/>
          <w:sz w:val="28"/>
          <w:szCs w:val="28"/>
          <w:lang w:eastAsia="zh-CN"/>
        </w:rPr>
        <w:t>肥料，带动新技术新</w:t>
      </w:r>
      <w:r>
        <w:rPr>
          <w:rFonts w:ascii="Times New Roman" w:hAnsi="Times New Roman" w:eastAsia="仿宋" w:cs="Times New Roman"/>
          <w:color w:val="auto"/>
          <w:spacing w:val="-4"/>
          <w:sz w:val="28"/>
          <w:szCs w:val="28"/>
          <w:lang w:eastAsia="zh-CN"/>
        </w:rPr>
        <w:t>产品推广应用，建设一批化肥减量技术服务示范基地</w:t>
      </w:r>
      <w:r>
        <w:rPr>
          <w:rFonts w:ascii="Times New Roman" w:hAnsi="Times New Roman" w:eastAsia="仿宋" w:cs="Times New Roman"/>
          <w:color w:val="auto"/>
          <w:spacing w:val="-5"/>
          <w:sz w:val="28"/>
          <w:szCs w:val="28"/>
          <w:lang w:eastAsia="zh-CN"/>
        </w:rPr>
        <w:t>，普及化肥减量增效</w:t>
      </w:r>
      <w:r>
        <w:rPr>
          <w:rFonts w:ascii="Times New Roman" w:hAnsi="Times New Roman" w:eastAsia="仿宋" w:cs="Times New Roman"/>
          <w:color w:val="auto"/>
          <w:spacing w:val="-4"/>
          <w:sz w:val="28"/>
          <w:szCs w:val="28"/>
          <w:lang w:eastAsia="zh-CN"/>
        </w:rPr>
        <w:t>技术，增强科学施肥意识，为农牧民提供全程技术服</w:t>
      </w:r>
      <w:r>
        <w:rPr>
          <w:rFonts w:ascii="Times New Roman" w:hAnsi="Times New Roman" w:eastAsia="仿宋" w:cs="Times New Roman"/>
          <w:color w:val="auto"/>
          <w:spacing w:val="-5"/>
          <w:sz w:val="28"/>
          <w:szCs w:val="28"/>
          <w:lang w:eastAsia="zh-CN"/>
        </w:rPr>
        <w:t>务。建立农药风险评</w:t>
      </w:r>
      <w:r>
        <w:rPr>
          <w:rFonts w:ascii="Times New Roman" w:hAnsi="Times New Roman" w:eastAsia="仿宋" w:cs="Times New Roman"/>
          <w:color w:val="auto"/>
          <w:spacing w:val="-4"/>
          <w:sz w:val="28"/>
          <w:szCs w:val="28"/>
          <w:lang w:eastAsia="zh-CN"/>
        </w:rPr>
        <w:t>估技术标准体系，统筹推进农药包装物流综合治理，加</w:t>
      </w:r>
      <w:r>
        <w:rPr>
          <w:rFonts w:ascii="Times New Roman" w:hAnsi="Times New Roman" w:eastAsia="仿宋" w:cs="Times New Roman"/>
          <w:color w:val="auto"/>
          <w:spacing w:val="-5"/>
          <w:sz w:val="28"/>
          <w:szCs w:val="28"/>
          <w:lang w:eastAsia="zh-CN"/>
        </w:rPr>
        <w:t>强监测预警，开展</w:t>
      </w:r>
      <w:r>
        <w:rPr>
          <w:rFonts w:ascii="Times New Roman" w:hAnsi="Times New Roman" w:eastAsia="仿宋" w:cs="Times New Roman"/>
          <w:color w:val="auto"/>
          <w:spacing w:val="-4"/>
          <w:sz w:val="28"/>
          <w:szCs w:val="28"/>
          <w:lang w:eastAsia="zh-CN"/>
        </w:rPr>
        <w:t>农药减量示范，扩大绿色防控面积，推进统防统治，加</w:t>
      </w:r>
      <w:r>
        <w:rPr>
          <w:rFonts w:ascii="Times New Roman" w:hAnsi="Times New Roman" w:eastAsia="仿宋" w:cs="Times New Roman"/>
          <w:color w:val="auto"/>
          <w:spacing w:val="-5"/>
          <w:sz w:val="28"/>
          <w:szCs w:val="28"/>
          <w:lang w:eastAsia="zh-CN"/>
        </w:rPr>
        <w:t>强农药监管。研究</w:t>
      </w:r>
      <w:r>
        <w:rPr>
          <w:rFonts w:ascii="Times New Roman" w:hAnsi="Times New Roman" w:eastAsia="仿宋" w:cs="Times New Roman"/>
          <w:color w:val="auto"/>
          <w:spacing w:val="-4"/>
          <w:sz w:val="28"/>
          <w:szCs w:val="28"/>
          <w:lang w:eastAsia="zh-CN"/>
        </w:rPr>
        <w:t>推广新技术、新药剂、新施药器械、新防控服务模式，确保</w:t>
      </w:r>
      <w:r>
        <w:rPr>
          <w:rFonts w:ascii="Times New Roman" w:hAnsi="Times New Roman" w:eastAsia="仿宋" w:cs="Times New Roman"/>
          <w:color w:val="auto"/>
          <w:spacing w:val="-5"/>
          <w:sz w:val="28"/>
          <w:szCs w:val="28"/>
          <w:lang w:eastAsia="zh-CN"/>
        </w:rPr>
        <w:t>全年农药使用</w:t>
      </w:r>
      <w:r>
        <w:rPr>
          <w:rFonts w:ascii="Times New Roman" w:hAnsi="Times New Roman" w:eastAsia="仿宋" w:cs="Times New Roman"/>
          <w:color w:val="auto"/>
          <w:spacing w:val="-3"/>
          <w:sz w:val="28"/>
          <w:szCs w:val="28"/>
          <w:lang w:eastAsia="zh-CN"/>
        </w:rPr>
        <w:t>量</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负增长</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。继续把大型灌区节水改造作为</w:t>
      </w:r>
      <w:r>
        <w:rPr>
          <w:rFonts w:ascii="Times New Roman" w:hAnsi="Times New Roman" w:eastAsia="仿宋" w:cs="Times New Roman"/>
          <w:color w:val="auto"/>
          <w:spacing w:val="-3"/>
          <w:sz w:val="28"/>
          <w:szCs w:val="28"/>
          <w:lang w:eastAsia="zh"/>
        </w:rPr>
        <w:t>翁牛特旗</w:t>
      </w:r>
      <w:r>
        <w:rPr>
          <w:rFonts w:ascii="Times New Roman" w:hAnsi="Times New Roman" w:eastAsia="仿宋" w:cs="Times New Roman"/>
          <w:color w:val="auto"/>
          <w:spacing w:val="-3"/>
          <w:sz w:val="28"/>
          <w:szCs w:val="28"/>
          <w:lang w:eastAsia="zh-CN"/>
        </w:rPr>
        <w:t>农牧业基础建设</w:t>
      </w:r>
      <w:r>
        <w:rPr>
          <w:rFonts w:ascii="Times New Roman" w:hAnsi="Times New Roman" w:eastAsia="仿宋" w:cs="Times New Roman"/>
          <w:color w:val="auto"/>
          <w:spacing w:val="-4"/>
          <w:sz w:val="28"/>
          <w:szCs w:val="28"/>
          <w:lang w:eastAsia="zh-CN"/>
        </w:rPr>
        <w:t>的重点工作。严格按照</w:t>
      </w:r>
      <w:r>
        <w:rPr>
          <w:rFonts w:ascii="Times New Roman" w:hAnsi="Times New Roman" w:eastAsia="仿宋" w:cs="Times New Roman"/>
          <w:color w:val="auto"/>
          <w:spacing w:val="-4"/>
          <w:sz w:val="28"/>
          <w:szCs w:val="28"/>
          <w:lang w:eastAsia="zh"/>
        </w:rPr>
        <w:t>翁牛特旗</w:t>
      </w:r>
      <w:r>
        <w:rPr>
          <w:rFonts w:ascii="Times New Roman" w:hAnsi="Times New Roman" w:eastAsia="仿宋" w:cs="Times New Roman"/>
          <w:color w:val="auto"/>
          <w:spacing w:val="-4"/>
          <w:sz w:val="28"/>
          <w:szCs w:val="28"/>
          <w:lang w:eastAsia="zh-CN"/>
        </w:rPr>
        <w:t>水资源配置总量，控制灌溉发</w:t>
      </w:r>
      <w:r>
        <w:rPr>
          <w:rFonts w:ascii="Times New Roman" w:hAnsi="Times New Roman" w:eastAsia="仿宋" w:cs="Times New Roman"/>
          <w:color w:val="auto"/>
          <w:spacing w:val="-5"/>
          <w:sz w:val="28"/>
          <w:szCs w:val="28"/>
          <w:lang w:eastAsia="zh-CN"/>
        </w:rPr>
        <w:t>展规模，发展高效节</w:t>
      </w:r>
      <w:r>
        <w:rPr>
          <w:rFonts w:ascii="Times New Roman" w:hAnsi="Times New Roman" w:eastAsia="仿宋" w:cs="Times New Roman"/>
          <w:color w:val="auto"/>
          <w:spacing w:val="-4"/>
          <w:sz w:val="28"/>
          <w:szCs w:val="28"/>
          <w:lang w:eastAsia="zh-CN"/>
        </w:rPr>
        <w:t>水农业；优先推广喷灌、微</w:t>
      </w:r>
      <w:r>
        <w:rPr>
          <w:rFonts w:ascii="Times New Roman" w:hAnsi="Times New Roman" w:eastAsia="仿宋" w:cs="Times New Roman"/>
          <w:color w:val="auto"/>
          <w:spacing w:val="-5"/>
          <w:sz w:val="28"/>
          <w:szCs w:val="28"/>
          <w:lang w:eastAsia="zh-CN"/>
        </w:rPr>
        <w:t>灌技术，在有条件</w:t>
      </w:r>
      <w:r>
        <w:rPr>
          <w:rFonts w:ascii="Times New Roman" w:hAnsi="Times New Roman" w:eastAsia="仿宋" w:cs="Times New Roman"/>
          <w:color w:val="auto"/>
          <w:spacing w:val="-4"/>
          <w:sz w:val="28"/>
          <w:szCs w:val="28"/>
          <w:lang w:eastAsia="zh-CN"/>
        </w:rPr>
        <w:t>的地区发展地下滴灌技术；引进示范激光控制平地技术和水</w:t>
      </w:r>
      <w:r>
        <w:rPr>
          <w:rFonts w:ascii="Times New Roman" w:hAnsi="Times New Roman" w:eastAsia="仿宋" w:cs="Times New Roman"/>
          <w:color w:val="auto"/>
          <w:spacing w:val="-5"/>
          <w:sz w:val="28"/>
          <w:szCs w:val="28"/>
          <w:lang w:eastAsia="zh-CN"/>
        </w:rPr>
        <w:t>平洼地灌水技</w:t>
      </w:r>
      <w:r>
        <w:rPr>
          <w:rFonts w:ascii="Times New Roman" w:hAnsi="Times New Roman" w:eastAsia="仿宋" w:cs="Times New Roman"/>
          <w:color w:val="auto"/>
          <w:spacing w:val="-4"/>
          <w:sz w:val="28"/>
          <w:szCs w:val="28"/>
          <w:lang w:eastAsia="zh-CN"/>
        </w:rPr>
        <w:t>术，加强土地平整，改进沟畦灌水技术，实现灌溉渠</w:t>
      </w:r>
      <w:r>
        <w:rPr>
          <w:rFonts w:ascii="Times New Roman" w:hAnsi="Times New Roman" w:eastAsia="仿宋" w:cs="Times New Roman"/>
          <w:color w:val="auto"/>
          <w:spacing w:val="-5"/>
          <w:sz w:val="28"/>
          <w:szCs w:val="28"/>
          <w:lang w:eastAsia="zh-CN"/>
        </w:rPr>
        <w:t>系管道化；根据水资</w:t>
      </w:r>
      <w:r>
        <w:rPr>
          <w:rFonts w:ascii="Times New Roman" w:hAnsi="Times New Roman" w:eastAsia="仿宋" w:cs="Times New Roman"/>
          <w:color w:val="auto"/>
          <w:spacing w:val="-2"/>
          <w:sz w:val="28"/>
          <w:szCs w:val="28"/>
          <w:lang w:eastAsia="zh-CN"/>
        </w:rPr>
        <w:t>源条件，在草原牧区积极发展节水灌溉饲草料地。大力实施小流域、坡耕地综合治理等工程建设，有效改善农牧业生产条件和生态环境。</w:t>
      </w:r>
    </w:p>
    <w:p w14:paraId="0051C548">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19" w:name="_Toc183187309"/>
      <w:r>
        <w:rPr>
          <w:rFonts w:ascii="Times New Roman" w:hAnsi="Times New Roman" w:eastAsia="仿宋" w:cs="Times New Roman"/>
          <w:b/>
          <w:bCs/>
          <w:color w:val="auto"/>
          <w:spacing w:val="-2"/>
          <w:sz w:val="28"/>
          <w:szCs w:val="28"/>
          <w:lang w:eastAsia="zh-CN"/>
        </w:rPr>
        <w:t>（二）提高资源开发利用效率</w:t>
      </w:r>
      <w:bookmarkEnd w:id="519"/>
    </w:p>
    <w:p w14:paraId="5C09F95A">
      <w:pPr>
        <w:spacing w:line="560" w:lineRule="exact"/>
        <w:ind w:firstLine="561"/>
        <w:jc w:val="both"/>
        <w:rPr>
          <w:rFonts w:ascii="Times New Roman" w:hAnsi="Times New Roman" w:cs="Times New Roman"/>
          <w:color w:val="auto"/>
          <w:lang w:eastAsia="zh-CN"/>
        </w:rPr>
      </w:pPr>
      <w:r>
        <w:rPr>
          <w:rFonts w:ascii="Times New Roman" w:hAnsi="Times New Roman" w:eastAsia="仿宋" w:cs="Times New Roman"/>
          <w:color w:val="auto"/>
          <w:spacing w:val="-5"/>
          <w:sz w:val="28"/>
          <w:szCs w:val="28"/>
          <w:lang w:eastAsia="zh-CN"/>
        </w:rPr>
        <w:t>强化重点产业节能减排降碳。进一步加强节能管理和用能项目源头管控，促进能源合理利用，严控能耗总量增长，提高能源利用效率，落实节能减排任务，开展重点用能单位节能低碳行动，实施重点产业能效提升计划。严格执行节能标准，加快节能改造，鼓励发展绿色建筑，鼓励建筑工业化等建设模式，鼓</w:t>
      </w:r>
      <w:r>
        <w:rPr>
          <w:rFonts w:ascii="Times New Roman" w:hAnsi="Times New Roman" w:eastAsia="仿宋" w:cs="Times New Roman"/>
          <w:color w:val="auto"/>
          <w:spacing w:val="-2"/>
          <w:sz w:val="28"/>
          <w:szCs w:val="28"/>
          <w:lang w:eastAsia="zh-CN"/>
        </w:rPr>
        <w:t>励应用智能控制、高效采暖等节能新技术。开展重点用能单位节能审查，</w:t>
      </w:r>
      <w:r>
        <w:rPr>
          <w:rFonts w:ascii="Times New Roman" w:hAnsi="Times New Roman" w:eastAsia="仿宋" w:cs="Times New Roman"/>
          <w:color w:val="auto"/>
          <w:spacing w:val="-4"/>
          <w:sz w:val="28"/>
          <w:szCs w:val="28"/>
          <w:lang w:eastAsia="zh-CN"/>
        </w:rPr>
        <w:t>加强能源消费总量管理，实施能耗预算管理，坚持用能预算</w:t>
      </w:r>
      <w:r>
        <w:rPr>
          <w:rFonts w:ascii="Times New Roman" w:hAnsi="Times New Roman" w:eastAsia="仿宋" w:cs="Times New Roman"/>
          <w:color w:val="auto"/>
          <w:spacing w:val="-5"/>
          <w:sz w:val="28"/>
          <w:szCs w:val="28"/>
          <w:lang w:eastAsia="zh-CN"/>
        </w:rPr>
        <w:t>供给和支出平</w:t>
      </w:r>
      <w:r>
        <w:rPr>
          <w:rFonts w:ascii="Times New Roman" w:hAnsi="Times New Roman" w:eastAsia="仿宋" w:cs="Times New Roman"/>
          <w:color w:val="auto"/>
          <w:spacing w:val="-4"/>
          <w:sz w:val="28"/>
          <w:szCs w:val="28"/>
          <w:lang w:eastAsia="zh-CN"/>
        </w:rPr>
        <w:t>衡，控制高耗能行业产业规模，淘汰化解落后产能和过剩产</w:t>
      </w:r>
      <w:r>
        <w:rPr>
          <w:rFonts w:ascii="Times New Roman" w:hAnsi="Times New Roman" w:eastAsia="仿宋" w:cs="Times New Roman"/>
          <w:color w:val="auto"/>
          <w:spacing w:val="-5"/>
          <w:sz w:val="28"/>
          <w:szCs w:val="28"/>
          <w:lang w:eastAsia="zh-CN"/>
        </w:rPr>
        <w:t>能，加快高耗</w:t>
      </w:r>
      <w:r>
        <w:rPr>
          <w:rFonts w:ascii="Times New Roman" w:hAnsi="Times New Roman" w:eastAsia="仿宋" w:cs="Times New Roman"/>
          <w:color w:val="auto"/>
          <w:spacing w:val="1"/>
          <w:sz w:val="28"/>
          <w:szCs w:val="28"/>
          <w:lang w:eastAsia="zh-CN"/>
        </w:rPr>
        <w:t>能行业节能技术改造。</w:t>
      </w:r>
    </w:p>
    <w:p w14:paraId="05AFD342">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20" w:name="_Toc183187310"/>
      <w:r>
        <w:rPr>
          <w:rFonts w:ascii="Times New Roman" w:hAnsi="Times New Roman" w:eastAsia="仿宋" w:cs="Times New Roman"/>
          <w:b/>
          <w:bCs/>
          <w:color w:val="auto"/>
          <w:spacing w:val="-2"/>
          <w:sz w:val="28"/>
          <w:szCs w:val="28"/>
          <w:lang w:eastAsia="zh-CN"/>
        </w:rPr>
        <w:t>（三）推动节能减排技术应用</w:t>
      </w:r>
      <w:bookmarkEnd w:id="520"/>
    </w:p>
    <w:p w14:paraId="45483982">
      <w:pPr>
        <w:spacing w:line="560" w:lineRule="exact"/>
        <w:ind w:firstLine="563"/>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4"/>
          <w:sz w:val="28"/>
          <w:szCs w:val="28"/>
          <w:lang w:eastAsia="zh-CN"/>
        </w:rPr>
        <w:t>积极推广先进适用的节能减排高新技术的应用</w:t>
      </w:r>
      <w:r>
        <w:rPr>
          <w:rFonts w:ascii="Times New Roman" w:hAnsi="Times New Roman" w:eastAsia="仿宋" w:cs="Times New Roman"/>
          <w:color w:val="auto"/>
          <w:spacing w:val="-5"/>
          <w:sz w:val="28"/>
          <w:szCs w:val="28"/>
          <w:lang w:eastAsia="zh-CN"/>
        </w:rPr>
        <w:t>，提升工业清洁生产水</w:t>
      </w:r>
      <w:r>
        <w:rPr>
          <w:rFonts w:ascii="Times New Roman" w:hAnsi="Times New Roman" w:eastAsia="仿宋" w:cs="Times New Roman"/>
          <w:color w:val="auto"/>
          <w:spacing w:val="-4"/>
          <w:sz w:val="28"/>
          <w:szCs w:val="28"/>
          <w:lang w:eastAsia="zh-CN"/>
        </w:rPr>
        <w:t>平。推进工业炉窑改造、低温工业余热余压利用等节能技术应用，加快高浓盐水和工业废水处理技术的研发、示范和推广应用，推动水资源循环利用。支持大宗工业固废资源回收与综合利用。强化能源、冶金、化工等行业的烟气脱硫、脱硝、除尘及二氧化碳回收利用等技术研发与示范。大力推广炉气综合利用技术，逐步实现循环发展。加快发展节能环保服务业，重点发展城市污水垃圾处理及再利用、脱硫脱硝、废水治理和污泥无害化处理等环保服务业，培育工业废渣、废金属、废旧电子产品、报废汽车、废塑料、餐厨废弃物等综合利用</w:t>
      </w:r>
      <w:r>
        <w:rPr>
          <w:rFonts w:ascii="Times New Roman" w:hAnsi="Times New Roman" w:eastAsia="仿宋" w:cs="Times New Roman"/>
          <w:color w:val="auto"/>
          <w:spacing w:val="-5"/>
          <w:sz w:val="28"/>
          <w:szCs w:val="28"/>
          <w:lang w:eastAsia="zh-CN"/>
        </w:rPr>
        <w:t>为重点的固废处理服务业。</w:t>
      </w:r>
    </w:p>
    <w:p w14:paraId="7ED30258">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21" w:name="_Toc183187311"/>
      <w:r>
        <w:rPr>
          <w:rFonts w:ascii="Times New Roman" w:hAnsi="Times New Roman" w:eastAsia="仿宋" w:cs="Times New Roman"/>
          <w:b/>
          <w:bCs/>
          <w:color w:val="auto"/>
          <w:spacing w:val="-2"/>
          <w:sz w:val="28"/>
          <w:szCs w:val="28"/>
          <w:lang w:eastAsia="zh-CN"/>
        </w:rPr>
        <w:t>（四）加快交通运输绿色发展</w:t>
      </w:r>
      <w:bookmarkEnd w:id="521"/>
    </w:p>
    <w:p w14:paraId="000DED2C">
      <w:pPr>
        <w:spacing w:line="560" w:lineRule="exact"/>
        <w:ind w:firstLine="558"/>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1"/>
          <w:sz w:val="28"/>
          <w:szCs w:val="28"/>
          <w:lang w:eastAsia="zh-CN"/>
        </w:rPr>
        <w:t>加大运输结构调整力度，大幅减少公路货物运输量，持续</w:t>
      </w:r>
      <w:r>
        <w:rPr>
          <w:rFonts w:ascii="Times New Roman" w:hAnsi="Times New Roman" w:eastAsia="仿宋" w:cs="Times New Roman"/>
          <w:color w:val="auto"/>
          <w:sz w:val="28"/>
          <w:szCs w:val="28"/>
          <w:lang w:eastAsia="zh-CN"/>
        </w:rPr>
        <w:t>推进</w:t>
      </w:r>
      <w:r>
        <w:rPr>
          <w:rFonts w:ascii="Times New Roman" w:hAnsi="Times New Roman" w:eastAsia="Times New Roman" w:cs="Times New Roman"/>
          <w:color w:val="auto"/>
          <w:sz w:val="28"/>
          <w:szCs w:val="28"/>
          <w:lang w:eastAsia="zh-CN"/>
        </w:rPr>
        <w:t>“</w:t>
      </w:r>
      <w:r>
        <w:rPr>
          <w:rFonts w:ascii="Times New Roman" w:hAnsi="Times New Roman" w:eastAsia="仿宋" w:cs="Times New Roman"/>
          <w:color w:val="auto"/>
          <w:sz w:val="28"/>
          <w:szCs w:val="28"/>
          <w:lang w:eastAsia="zh-CN"/>
        </w:rPr>
        <w:t>公转铁</w:t>
      </w:r>
      <w:r>
        <w:rPr>
          <w:rFonts w:ascii="Times New Roman" w:hAnsi="Times New Roman" w:eastAsia="Times New Roman" w:cs="Times New Roman"/>
          <w:color w:val="auto"/>
          <w:sz w:val="28"/>
          <w:szCs w:val="28"/>
          <w:lang w:eastAsia="zh-CN"/>
        </w:rPr>
        <w:t>”</w:t>
      </w:r>
      <w:r>
        <w:rPr>
          <w:rFonts w:ascii="Times New Roman" w:hAnsi="Times New Roman" w:eastAsia="仿宋" w:cs="Times New Roman"/>
          <w:color w:val="auto"/>
          <w:sz w:val="28"/>
          <w:szCs w:val="28"/>
          <w:lang w:eastAsia="zh-CN"/>
        </w:rPr>
        <w:t>，推进进站列车直达大型工矿企业和物</w:t>
      </w:r>
      <w:r>
        <w:rPr>
          <w:rFonts w:ascii="Times New Roman" w:hAnsi="Times New Roman" w:eastAsia="仿宋" w:cs="Times New Roman"/>
          <w:color w:val="auto"/>
          <w:spacing w:val="-1"/>
          <w:sz w:val="28"/>
          <w:szCs w:val="28"/>
          <w:lang w:eastAsia="zh-CN"/>
        </w:rPr>
        <w:t>流园项目建设，物料通过全封闭的管带机被输送至厂区各车间，做到运料不见料。对</w:t>
      </w:r>
      <w:r>
        <w:rPr>
          <w:rFonts w:ascii="Times New Roman" w:hAnsi="Times New Roman" w:eastAsia="仿宋" w:cs="Times New Roman"/>
          <w:color w:val="auto"/>
          <w:spacing w:val="-2"/>
          <w:sz w:val="28"/>
          <w:szCs w:val="28"/>
          <w:lang w:eastAsia="zh-CN"/>
        </w:rPr>
        <w:t>其他运输量较大、</w:t>
      </w:r>
      <w:r>
        <w:rPr>
          <w:rFonts w:ascii="Times New Roman" w:hAnsi="Times New Roman" w:eastAsia="仿宋" w:cs="Times New Roman"/>
          <w:color w:val="auto"/>
          <w:spacing w:val="-4"/>
          <w:sz w:val="28"/>
          <w:szCs w:val="28"/>
          <w:lang w:eastAsia="zh-CN"/>
        </w:rPr>
        <w:t>运输距离较远的大宗物料、产品</w:t>
      </w:r>
      <w:r>
        <w:rPr>
          <w:rFonts w:ascii="Times New Roman" w:hAnsi="Times New Roman" w:eastAsia="仿宋" w:cs="Times New Roman"/>
          <w:color w:val="auto"/>
          <w:spacing w:val="-5"/>
          <w:sz w:val="28"/>
          <w:szCs w:val="28"/>
          <w:lang w:eastAsia="zh-CN"/>
        </w:rPr>
        <w:t>，且无法实施</w:t>
      </w:r>
      <w:r>
        <w:rPr>
          <w:rFonts w:ascii="Times New Roman" w:hAnsi="Times New Roman" w:eastAsia="仿宋" w:cs="Times New Roman"/>
          <w:color w:val="auto"/>
          <w:spacing w:val="-2"/>
          <w:sz w:val="28"/>
          <w:szCs w:val="28"/>
          <w:lang w:eastAsia="zh-CN"/>
        </w:rPr>
        <w:t>铁路运输的，推动采用国</w:t>
      </w:r>
      <w:r>
        <w:rPr>
          <w:rFonts w:ascii="Times New Roman" w:hAnsi="Times New Roman" w:eastAsia="Times New Roman" w:cs="Times New Roman"/>
          <w:color w:val="auto"/>
          <w:spacing w:val="-2"/>
          <w:sz w:val="28"/>
          <w:szCs w:val="28"/>
          <w:lang w:eastAsia="zh-CN"/>
        </w:rPr>
        <w:t>V</w:t>
      </w:r>
      <w:r>
        <w:rPr>
          <w:rFonts w:ascii="Times New Roman" w:hAnsi="Times New Roman" w:eastAsia="仿宋" w:cs="Times New Roman"/>
          <w:color w:val="auto"/>
          <w:spacing w:val="-2"/>
          <w:sz w:val="28"/>
          <w:szCs w:val="28"/>
          <w:lang w:eastAsia="zh-CN"/>
        </w:rPr>
        <w:t>及以上排放阶段的车辆进行运输。推动新增</w:t>
      </w:r>
      <w:r>
        <w:rPr>
          <w:rFonts w:ascii="Times New Roman" w:hAnsi="Times New Roman" w:eastAsia="仿宋" w:cs="Times New Roman"/>
          <w:color w:val="auto"/>
          <w:spacing w:val="-4"/>
          <w:sz w:val="28"/>
          <w:szCs w:val="28"/>
          <w:lang w:eastAsia="zh-CN"/>
        </w:rPr>
        <w:t>和更新的公交、环卫、邮政车辆采用新能源或清洁能</w:t>
      </w:r>
      <w:r>
        <w:rPr>
          <w:rFonts w:ascii="Times New Roman" w:hAnsi="Times New Roman" w:eastAsia="仿宋" w:cs="Times New Roman"/>
          <w:color w:val="auto"/>
          <w:spacing w:val="-5"/>
          <w:sz w:val="28"/>
          <w:szCs w:val="28"/>
          <w:lang w:eastAsia="zh-CN"/>
        </w:rPr>
        <w:t>源汽车，实现新能源</w:t>
      </w:r>
      <w:r>
        <w:rPr>
          <w:rFonts w:ascii="Times New Roman" w:hAnsi="Times New Roman" w:eastAsia="仿宋" w:cs="Times New Roman"/>
          <w:color w:val="auto"/>
          <w:spacing w:val="-4"/>
          <w:sz w:val="28"/>
          <w:szCs w:val="28"/>
          <w:lang w:eastAsia="zh-CN"/>
        </w:rPr>
        <w:t>汽车在交通运输行业的可持续应用。继续采取直接上牌、</w:t>
      </w:r>
      <w:r>
        <w:rPr>
          <w:rFonts w:ascii="Times New Roman" w:hAnsi="Times New Roman" w:eastAsia="仿宋" w:cs="Times New Roman"/>
          <w:color w:val="auto"/>
          <w:spacing w:val="-5"/>
          <w:sz w:val="28"/>
          <w:szCs w:val="28"/>
          <w:lang w:eastAsia="zh-CN"/>
        </w:rPr>
        <w:t>财政补贴等措施</w:t>
      </w:r>
      <w:r>
        <w:rPr>
          <w:rFonts w:ascii="Times New Roman" w:hAnsi="Times New Roman" w:eastAsia="仿宋" w:cs="Times New Roman"/>
          <w:color w:val="auto"/>
          <w:spacing w:val="-1"/>
          <w:sz w:val="28"/>
          <w:szCs w:val="28"/>
          <w:lang w:eastAsia="zh-CN"/>
        </w:rPr>
        <w:t>鼓励个人购买。加快完善加气站、充电桩等配</w:t>
      </w:r>
      <w:r>
        <w:rPr>
          <w:rFonts w:ascii="Times New Roman" w:hAnsi="Times New Roman" w:eastAsia="仿宋" w:cs="Times New Roman"/>
          <w:color w:val="auto"/>
          <w:spacing w:val="-2"/>
          <w:sz w:val="28"/>
          <w:szCs w:val="28"/>
          <w:lang w:eastAsia="zh-CN"/>
        </w:rPr>
        <w:t>套设施的规划与建设。</w:t>
      </w:r>
    </w:p>
    <w:p w14:paraId="3150668F">
      <w:pPr>
        <w:pStyle w:val="3"/>
        <w:rPr>
          <w:rFonts w:ascii="Times New Roman" w:hAnsi="Times New Roman" w:cs="Times New Roman"/>
          <w:color w:val="auto"/>
          <w:lang w:eastAsia="zh-CN"/>
        </w:rPr>
      </w:pPr>
      <w:bookmarkStart w:id="522" w:name="bookmark82"/>
      <w:bookmarkEnd w:id="522"/>
      <w:bookmarkStart w:id="523" w:name="bookmark81"/>
      <w:bookmarkEnd w:id="523"/>
      <w:bookmarkStart w:id="524" w:name="_Toc183187312"/>
      <w:r>
        <w:rPr>
          <w:rFonts w:ascii="Times New Roman" w:hAnsi="Times New Roman" w:cs="Times New Roman"/>
          <w:color w:val="auto"/>
          <w:lang w:eastAsia="zh-CN"/>
        </w:rPr>
        <w:t>六、积极推进园区循环化改造</w:t>
      </w:r>
      <w:bookmarkEnd w:id="524"/>
    </w:p>
    <w:p w14:paraId="747B50EB">
      <w:pPr>
        <w:spacing w:line="560" w:lineRule="exact"/>
        <w:ind w:firstLine="565"/>
        <w:jc w:val="both"/>
        <w:rPr>
          <w:rFonts w:ascii="Times New Roman" w:hAnsi="Times New Roman" w:eastAsia="仿宋" w:cs="Times New Roman"/>
          <w:color w:val="auto"/>
          <w:spacing w:val="-3"/>
          <w:sz w:val="28"/>
          <w:szCs w:val="28"/>
          <w:lang w:eastAsia="zh-CN"/>
        </w:rPr>
        <w:sectPr>
          <w:headerReference r:id="rId10" w:type="default"/>
          <w:pgSz w:w="11907" w:h="16839"/>
          <w:pgMar w:top="1440" w:right="1797" w:bottom="1440" w:left="1797" w:header="1020" w:footer="1020" w:gutter="0"/>
          <w:cols w:space="720" w:num="1"/>
          <w:docGrid w:linePitch="286" w:charSpace="0"/>
        </w:sectPr>
      </w:pPr>
      <w:r>
        <w:rPr>
          <w:rFonts w:ascii="Times New Roman" w:hAnsi="Times New Roman" w:eastAsia="仿宋" w:cs="Times New Roman"/>
          <w:color w:val="auto"/>
          <w:spacing w:val="-5"/>
          <w:sz w:val="28"/>
          <w:szCs w:val="28"/>
          <w:lang w:eastAsia="zh-CN"/>
        </w:rPr>
        <w:t>建设循环经济示范园。搭建循环经济技术、市场、产品等服务平台，加快推进产业间、园区间循环式布局，鼓励企业间、产业间建立循环经济联合体。鼓励采用节水型技术、企业集聚式的土地</w:t>
      </w:r>
      <w:r>
        <w:rPr>
          <w:rFonts w:ascii="Times New Roman" w:hAnsi="Times New Roman" w:eastAsia="仿宋" w:cs="Times New Roman"/>
          <w:color w:val="auto"/>
          <w:spacing w:val="-4"/>
          <w:sz w:val="28"/>
          <w:szCs w:val="28"/>
          <w:lang w:eastAsia="zh-CN"/>
        </w:rPr>
        <w:t>集约、副产物资源化利用、废水循环体系、能量回收</w:t>
      </w:r>
      <w:r>
        <w:rPr>
          <w:rFonts w:ascii="Times New Roman" w:hAnsi="Times New Roman" w:eastAsia="仿宋" w:cs="Times New Roman"/>
          <w:color w:val="auto"/>
          <w:spacing w:val="-5"/>
          <w:sz w:val="28"/>
          <w:szCs w:val="28"/>
          <w:lang w:eastAsia="zh-CN"/>
        </w:rPr>
        <w:t>体系等途径，建设循</w:t>
      </w:r>
      <w:r>
        <w:rPr>
          <w:rFonts w:ascii="Times New Roman" w:hAnsi="Times New Roman" w:eastAsia="仿宋" w:cs="Times New Roman"/>
          <w:color w:val="auto"/>
          <w:spacing w:val="1"/>
          <w:sz w:val="28"/>
          <w:szCs w:val="28"/>
          <w:lang w:eastAsia="zh-CN"/>
        </w:rPr>
        <w:t>环经济园区、培育循环型企业和清洁生产企业，</w:t>
      </w:r>
      <w:r>
        <w:rPr>
          <w:rFonts w:ascii="Times New Roman" w:hAnsi="Times New Roman" w:eastAsia="仿宋" w:cs="Times New Roman"/>
          <w:color w:val="auto"/>
          <w:spacing w:val="-3"/>
          <w:sz w:val="28"/>
          <w:szCs w:val="28"/>
          <w:lang w:eastAsia="zh-CN"/>
        </w:rPr>
        <w:t>构建循环型产业体系，建设国家级循环经济示范园区。按照</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减量化、再利用、资源化</w:t>
      </w:r>
      <w:r>
        <w:rPr>
          <w:rFonts w:ascii="Times New Roman" w:hAnsi="Times New Roman" w:eastAsia="Times New Roman" w:cs="Times New Roman"/>
          <w:color w:val="auto"/>
          <w:spacing w:val="-3"/>
          <w:sz w:val="28"/>
          <w:szCs w:val="28"/>
          <w:lang w:eastAsia="zh-CN"/>
        </w:rPr>
        <w:t>”</w:t>
      </w:r>
      <w:r>
        <w:rPr>
          <w:rFonts w:ascii="Times New Roman" w:hAnsi="Times New Roman" w:eastAsia="仿宋" w:cs="Times New Roman"/>
          <w:color w:val="auto"/>
          <w:spacing w:val="-3"/>
          <w:sz w:val="28"/>
          <w:szCs w:val="28"/>
          <w:lang w:eastAsia="zh-CN"/>
        </w:rPr>
        <w:t>原则，建立健</w:t>
      </w:r>
      <w:r>
        <w:rPr>
          <w:rFonts w:ascii="Times New Roman" w:hAnsi="Times New Roman" w:eastAsia="仿宋" w:cs="Times New Roman"/>
          <w:color w:val="auto"/>
          <w:spacing w:val="-2"/>
          <w:sz w:val="28"/>
          <w:szCs w:val="28"/>
          <w:lang w:eastAsia="zh-CN"/>
        </w:rPr>
        <w:t>全循环型农业、工业、服务业体系，实现生态产业化，产业生态化发展，</w:t>
      </w:r>
      <w:r>
        <w:rPr>
          <w:rFonts w:ascii="Times New Roman" w:hAnsi="Times New Roman" w:eastAsia="仿宋" w:cs="Times New Roman"/>
          <w:color w:val="auto"/>
          <w:spacing w:val="-10"/>
          <w:sz w:val="28"/>
          <w:szCs w:val="28"/>
          <w:lang w:eastAsia="zh-CN"/>
        </w:rPr>
        <w:t>提高全社会资源产出率。完善再生资源回收制度，建设城乡资源回收体</w:t>
      </w:r>
      <w:r>
        <w:rPr>
          <w:rFonts w:ascii="Times New Roman" w:hAnsi="Times New Roman" w:eastAsia="仿宋" w:cs="Times New Roman"/>
          <w:color w:val="auto"/>
          <w:spacing w:val="-11"/>
          <w:sz w:val="28"/>
          <w:szCs w:val="28"/>
          <w:lang w:eastAsia="zh-CN"/>
        </w:rPr>
        <w:t>系，</w:t>
      </w:r>
      <w:r>
        <w:rPr>
          <w:rFonts w:ascii="Times New Roman" w:hAnsi="Times New Roman" w:eastAsia="仿宋" w:cs="Times New Roman"/>
          <w:color w:val="auto"/>
          <w:spacing w:val="-3"/>
          <w:sz w:val="28"/>
          <w:szCs w:val="28"/>
          <w:lang w:eastAsia="zh-CN"/>
        </w:rPr>
        <w:t>促进废旧物品回收和循环利用。</w:t>
      </w:r>
    </w:p>
    <w:p w14:paraId="39DC2E19">
      <w:pPr>
        <w:pStyle w:val="2"/>
        <w:jc w:val="center"/>
        <w:rPr>
          <w:rFonts w:hint="default" w:ascii="Times New Roman" w:hAnsi="Times New Roman"/>
          <w:color w:val="auto"/>
        </w:rPr>
      </w:pPr>
      <w:bookmarkStart w:id="525" w:name="_Toc183187313"/>
      <w:r>
        <w:rPr>
          <w:rFonts w:hint="default" w:ascii="Times New Roman" w:hAnsi="Times New Roman"/>
          <w:color w:val="auto"/>
        </w:rPr>
        <w:t xml:space="preserve">第七章 </w:t>
      </w:r>
      <w:bookmarkStart w:id="526" w:name="OLE_LINK137"/>
      <w:r>
        <w:rPr>
          <w:rFonts w:hint="default" w:ascii="Times New Roman" w:hAnsi="Times New Roman"/>
          <w:color w:val="auto"/>
        </w:rPr>
        <w:t>生态文化体系建设</w:t>
      </w:r>
      <w:bookmarkEnd w:id="525"/>
      <w:bookmarkEnd w:id="526"/>
    </w:p>
    <w:p w14:paraId="4EE1501F">
      <w:pPr>
        <w:pStyle w:val="3"/>
        <w:rPr>
          <w:rFonts w:ascii="Times New Roman" w:hAnsi="Times New Roman" w:cs="Times New Roman"/>
          <w:color w:val="auto"/>
          <w:lang w:eastAsia="zh-CN"/>
        </w:rPr>
      </w:pPr>
      <w:bookmarkStart w:id="527" w:name="bookmark84"/>
      <w:bookmarkEnd w:id="527"/>
      <w:bookmarkStart w:id="528" w:name="bookmark83"/>
      <w:bookmarkEnd w:id="528"/>
      <w:bookmarkStart w:id="529" w:name="bookmark86"/>
      <w:bookmarkEnd w:id="529"/>
      <w:bookmarkStart w:id="530" w:name="_Toc183187314"/>
      <w:bookmarkStart w:id="531" w:name="_Toc157239713"/>
      <w:r>
        <w:rPr>
          <w:rFonts w:ascii="Times New Roman" w:hAnsi="Times New Roman" w:cs="Times New Roman"/>
          <w:color w:val="auto"/>
          <w:lang w:eastAsia="zh-CN"/>
        </w:rPr>
        <w:t>一、多维度营造绿色生态文化</w:t>
      </w:r>
      <w:bookmarkEnd w:id="530"/>
    </w:p>
    <w:bookmarkEnd w:id="531"/>
    <w:p w14:paraId="34CB8357">
      <w:pPr>
        <w:spacing w:line="560" w:lineRule="exact"/>
        <w:ind w:firstLine="554" w:firstLineChars="200"/>
        <w:jc w:val="both"/>
        <w:outlineLvl w:val="2"/>
        <w:rPr>
          <w:rFonts w:ascii="Times New Roman" w:hAnsi="Times New Roman" w:eastAsia="仿宋" w:cs="Times New Roman"/>
          <w:b/>
          <w:bCs/>
          <w:color w:val="auto"/>
          <w:spacing w:val="-2"/>
          <w:sz w:val="28"/>
          <w:szCs w:val="28"/>
          <w:lang w:val="zh-CN" w:eastAsia="zh-CN"/>
        </w:rPr>
      </w:pPr>
      <w:bookmarkStart w:id="532" w:name="_Toc183187315"/>
      <w:r>
        <w:rPr>
          <w:rFonts w:ascii="Times New Roman" w:hAnsi="Times New Roman" w:eastAsia="仿宋" w:cs="Times New Roman"/>
          <w:b/>
          <w:bCs/>
          <w:color w:val="auto"/>
          <w:spacing w:val="-2"/>
          <w:sz w:val="28"/>
          <w:szCs w:val="28"/>
          <w:lang w:eastAsia="zh-CN"/>
        </w:rPr>
        <w:t>（一）</w:t>
      </w:r>
      <w:r>
        <w:rPr>
          <w:rFonts w:ascii="Times New Roman" w:hAnsi="Times New Roman" w:eastAsia="仿宋" w:cs="Times New Roman"/>
          <w:b/>
          <w:bCs/>
          <w:color w:val="auto"/>
          <w:spacing w:val="-2"/>
          <w:sz w:val="28"/>
          <w:szCs w:val="28"/>
          <w:lang w:val="zh-CN" w:eastAsia="zh-CN"/>
        </w:rPr>
        <w:t>优化城乡生态绿地空间格局</w:t>
      </w:r>
      <w:bookmarkEnd w:id="532"/>
    </w:p>
    <w:p w14:paraId="7E7A5E6B">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统筹城镇和乡村、工业园区的生态要素、设施要素、村庄要素、旅游要素等多种资源，通过建设镇区绿地、道路绿地长廊、厂区公园绿地，提升城乡居住区、工业园区和道路防护林品质。鼓励村民在村庄周围、房前屋后、河流两岸、道路两侧等空闲地造林绿化，发展观光农业、休闲农业、生态农业，使村庄绿化建设与城区、工业园区发展同步进行。整合全旗生态空间资源，编织绿道网络，串联城镇、村庄、工业园区绿地生态空间，将园林绿地生态景观建设向集镇、工业园区延伸，将绿地建设从单点开花串联形成网状绿地生态格局，实现城乡绿化系统的纵横交错和相互贯通，促进生态循环和城乡融合发展。</w:t>
      </w:r>
    </w:p>
    <w:p w14:paraId="37852974">
      <w:pPr>
        <w:spacing w:line="560" w:lineRule="exact"/>
        <w:ind w:firstLine="554" w:firstLineChars="200"/>
        <w:jc w:val="both"/>
        <w:outlineLvl w:val="2"/>
        <w:rPr>
          <w:rFonts w:ascii="Times New Roman" w:hAnsi="Times New Roman" w:eastAsia="仿宋" w:cs="Times New Roman"/>
          <w:b/>
          <w:bCs/>
          <w:color w:val="auto"/>
          <w:spacing w:val="-2"/>
          <w:sz w:val="28"/>
          <w:szCs w:val="28"/>
          <w:lang w:val="zh-CN" w:eastAsia="zh-CN"/>
        </w:rPr>
      </w:pPr>
      <w:bookmarkStart w:id="533" w:name="_Toc183187316"/>
      <w:r>
        <w:rPr>
          <w:rFonts w:ascii="Times New Roman" w:hAnsi="Times New Roman" w:eastAsia="仿宋" w:cs="Times New Roman"/>
          <w:b/>
          <w:bCs/>
          <w:color w:val="auto"/>
          <w:spacing w:val="-2"/>
          <w:sz w:val="28"/>
          <w:szCs w:val="28"/>
          <w:lang w:val="zh-CN" w:eastAsia="zh-CN"/>
        </w:rPr>
        <w:t>（</w:t>
      </w:r>
      <w:r>
        <w:rPr>
          <w:rFonts w:ascii="Times New Roman" w:hAnsi="Times New Roman" w:eastAsia="仿宋" w:cs="Times New Roman"/>
          <w:b/>
          <w:bCs/>
          <w:color w:val="auto"/>
          <w:spacing w:val="-2"/>
          <w:sz w:val="28"/>
          <w:szCs w:val="28"/>
          <w:lang w:eastAsia="zh-CN"/>
        </w:rPr>
        <w:t>二</w:t>
      </w:r>
      <w:r>
        <w:rPr>
          <w:rFonts w:ascii="Times New Roman" w:hAnsi="Times New Roman" w:eastAsia="仿宋" w:cs="Times New Roman"/>
          <w:b/>
          <w:bCs/>
          <w:color w:val="auto"/>
          <w:spacing w:val="-2"/>
          <w:sz w:val="28"/>
          <w:szCs w:val="28"/>
          <w:lang w:val="zh-CN" w:eastAsia="zh-CN"/>
        </w:rPr>
        <w:t>）构建生态宜居的</w:t>
      </w:r>
      <w:bookmarkStart w:id="534" w:name="OLE_LINK360"/>
      <w:bookmarkStart w:id="535" w:name="OLE_LINK359"/>
      <w:r>
        <w:rPr>
          <w:rFonts w:ascii="Times New Roman" w:hAnsi="Times New Roman" w:eastAsia="仿宋" w:cs="Times New Roman"/>
          <w:b/>
          <w:bCs/>
          <w:color w:val="auto"/>
          <w:spacing w:val="-2"/>
          <w:sz w:val="28"/>
          <w:szCs w:val="28"/>
          <w:lang w:val="zh-CN" w:eastAsia="zh-CN"/>
        </w:rPr>
        <w:t>绿色社区</w:t>
      </w:r>
      <w:bookmarkEnd w:id="533"/>
      <w:bookmarkEnd w:id="534"/>
      <w:bookmarkEnd w:id="535"/>
    </w:p>
    <w:p w14:paraId="0A942747">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对现有公园、广场进行园艺化升级提升改造，积极探索城市绿化精细化、网络化管养模式，全面提升绿地养护管理水平，建设节约型城市园林。实施城市园林绿化建设和管理实施动态监管，保障公众参与和社会监督，提高公众对城市园林绿化满意率。在城区、镇区公园绿地500米服务范围覆盖不到的盲区，合理布局游园绿地，增设街道绿道绿廊，确保绿地服务范围全覆盖，进一步提升城镇人均公园绿地面积。优化社区公共活动空间，布设健身器械等设施，提升社区公共服务设施配套。优化社区停车管理，科学增设一批公共停车位，建设充电车位，鼓励开放单位停车位，切实解决居民“停车难”问题。加强社区周围噪声治理，有效预防、制止噪音扰民行为。</w:t>
      </w:r>
    </w:p>
    <w:p w14:paraId="70B383FD">
      <w:pPr>
        <w:spacing w:line="560" w:lineRule="exact"/>
        <w:ind w:firstLine="559"/>
        <w:jc w:val="both"/>
        <w:rPr>
          <w:rFonts w:ascii="Times New Roman" w:hAnsi="Times New Roman" w:eastAsia="仿宋" w:cs="Times New Roman"/>
          <w:color w:val="auto"/>
          <w:spacing w:val="-3"/>
          <w:sz w:val="28"/>
          <w:szCs w:val="28"/>
          <w:lang w:val="zh-CN" w:eastAsia="zh-CN"/>
        </w:rPr>
      </w:pPr>
    </w:p>
    <w:p w14:paraId="2E31C37C">
      <w:pPr>
        <w:spacing w:line="560" w:lineRule="exact"/>
        <w:ind w:firstLine="554" w:firstLineChars="200"/>
        <w:jc w:val="both"/>
        <w:outlineLvl w:val="2"/>
        <w:rPr>
          <w:rFonts w:ascii="Times New Roman" w:hAnsi="Times New Roman" w:eastAsia="仿宋" w:cs="Times New Roman"/>
          <w:b/>
          <w:bCs/>
          <w:color w:val="auto"/>
          <w:spacing w:val="-2"/>
          <w:sz w:val="28"/>
          <w:szCs w:val="28"/>
          <w:lang w:val="zh-CN" w:eastAsia="zh-CN"/>
        </w:rPr>
      </w:pPr>
      <w:bookmarkStart w:id="536" w:name="_Toc183187317"/>
      <w:r>
        <w:rPr>
          <w:rFonts w:ascii="Times New Roman" w:hAnsi="Times New Roman" w:eastAsia="仿宋" w:cs="Times New Roman"/>
          <w:b/>
          <w:bCs/>
          <w:color w:val="auto"/>
          <w:spacing w:val="-2"/>
          <w:sz w:val="28"/>
          <w:szCs w:val="28"/>
          <w:lang w:eastAsia="zh-CN"/>
        </w:rPr>
        <w:t>（三）</w:t>
      </w:r>
      <w:r>
        <w:rPr>
          <w:rFonts w:ascii="Times New Roman" w:hAnsi="Times New Roman" w:eastAsia="仿宋" w:cs="Times New Roman"/>
          <w:b/>
          <w:bCs/>
          <w:color w:val="auto"/>
          <w:spacing w:val="-2"/>
          <w:sz w:val="28"/>
          <w:szCs w:val="28"/>
          <w:lang w:val="zh-CN" w:eastAsia="zh-CN"/>
        </w:rPr>
        <w:t>全面推行绿色生产生活方式，构建低碳节约型社会</w:t>
      </w:r>
      <w:bookmarkEnd w:id="536"/>
    </w:p>
    <w:p w14:paraId="46252F68">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绿色生产方面，对能效标识产品、节能节水认证产品、环境标志产品和无公害标志食品等绿色标识产品的生产、销售和消费全过程采取税收优惠或财政补贴政策，畅通绿色产品流通渠道，提高市场占有率，激励、引导企业选择绿色原材料、减少资源能源消耗和污染物排放。绿色生活方面，政府带头践行绿色办公，加大绿色采购力度，选购节能、环保、再生等绿色产品，更新公务用车优先采购新能源汽车；推动建立绿色产品市场，通过制定绿色补贴政策，积极引导城乡居民践行绿色生活方式。大力推广普及节水器具建设节水型社会。严格执行国家制定的节水强制性标准，逐步实行用水产品用水效率标识管理，禁止生产和销售不符合节水强制性标准的产品。在机关、学校等公共场所和宾馆、酒店等服务行业全面推行节水器具，在居民家庭引导使用节水器具，全面提高节水器具普及率。营建绿色出行公交体系。建立以以常规公交为主、以旅游公交和出租车为辅的公交网络，倡导公众绿色出行。加快公交线路优化、车辆提升工程。构建慢行交通系统，建立以人为本的慢行交通空间，并加强慢行交通与公共交通系统的良好换乘衔接，科学规划共享单车、共享电动车的运营、停放范围，倡导电动车和非机动车为主的慢行出行方式。到20</w:t>
      </w:r>
      <w:r>
        <w:rPr>
          <w:rFonts w:ascii="Times New Roman" w:hAnsi="Times New Roman" w:eastAsia="仿宋" w:cs="Times New Roman"/>
          <w:color w:val="auto"/>
          <w:spacing w:val="-3"/>
          <w:sz w:val="28"/>
          <w:szCs w:val="28"/>
          <w:lang w:eastAsia="zh-CN"/>
        </w:rPr>
        <w:t>30</w:t>
      </w:r>
      <w:r>
        <w:rPr>
          <w:rFonts w:ascii="Times New Roman" w:hAnsi="Times New Roman" w:eastAsia="仿宋" w:cs="Times New Roman"/>
          <w:color w:val="auto"/>
          <w:spacing w:val="-3"/>
          <w:sz w:val="28"/>
          <w:szCs w:val="28"/>
          <w:lang w:val="zh-CN" w:eastAsia="zh-CN"/>
        </w:rPr>
        <w:t>年，城市公共交通出行分担率达到65%以上，慢行主导发展区内公共自行车、共享非机动车点150米半径覆盖率不低于60%，城市步行和自行车交通系统规划实施率达到80%，绿色出行畅通有序。</w:t>
      </w:r>
    </w:p>
    <w:p w14:paraId="1B988DF0">
      <w:pPr>
        <w:pStyle w:val="3"/>
        <w:rPr>
          <w:rFonts w:ascii="Times New Roman" w:hAnsi="Times New Roman" w:cs="Times New Roman"/>
          <w:color w:val="auto"/>
          <w:lang w:eastAsia="zh-CN"/>
        </w:rPr>
      </w:pPr>
      <w:bookmarkStart w:id="537" w:name="_Toc183187318"/>
      <w:r>
        <w:rPr>
          <w:rFonts w:ascii="Times New Roman" w:hAnsi="Times New Roman" w:cs="Times New Roman"/>
          <w:color w:val="auto"/>
          <w:lang w:eastAsia="zh-CN"/>
        </w:rPr>
        <w:t>二、多举措加强生态文化体系建设</w:t>
      </w:r>
      <w:bookmarkEnd w:id="537"/>
    </w:p>
    <w:p w14:paraId="4689EBE8">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38" w:name="_Toc157239720"/>
      <w:bookmarkStart w:id="539" w:name="_Toc183187319"/>
      <w:r>
        <w:rPr>
          <w:rFonts w:ascii="Times New Roman" w:hAnsi="Times New Roman" w:eastAsia="仿宋" w:cs="Times New Roman"/>
          <w:b/>
          <w:bCs/>
          <w:color w:val="auto"/>
          <w:spacing w:val="-2"/>
          <w:sz w:val="28"/>
          <w:szCs w:val="28"/>
          <w:lang w:eastAsia="zh-CN"/>
        </w:rPr>
        <w:t>（一）守护好精神标识和文化遗存</w:t>
      </w:r>
      <w:bookmarkEnd w:id="538"/>
      <w:bookmarkEnd w:id="539"/>
    </w:p>
    <w:p w14:paraId="342BF434">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eastAsia="zh-CN"/>
        </w:rPr>
        <w:t>加强文化遗产的挖掘、整理、保护和利用，让文化遗产活起来，走进现代生活，服务现代生活。重点加强对玉龙文化的挖掘、整理、创新，让玉龙文化有载体、接地气、可触摸、可感受，把玉龙文化元素融入到经济社会生活的各个方面。加快中华龙源、中华第一龙祭坛、玉龙文化博物馆等项目建设。围绕玉龙文化，举办或承办一批具有世界影响力的学术研讨、大型活动，创作一批优秀文艺作品，做足玉龙文章，展示玉龙文化魅力。</w:t>
      </w:r>
    </w:p>
    <w:p w14:paraId="15444F54">
      <w:pPr>
        <w:spacing w:line="560" w:lineRule="exact"/>
        <w:ind w:firstLine="559"/>
        <w:jc w:val="both"/>
        <w:rPr>
          <w:rFonts w:ascii="Times New Roman" w:hAnsi="Times New Roman" w:eastAsia="仿宋" w:cs="Times New Roman"/>
          <w:color w:val="auto"/>
          <w:spacing w:val="-3"/>
          <w:sz w:val="28"/>
          <w:szCs w:val="28"/>
          <w:lang w:eastAsia="zh-CN"/>
        </w:rPr>
      </w:pPr>
      <w:r>
        <w:rPr>
          <w:rFonts w:ascii="Times New Roman" w:hAnsi="Times New Roman" w:eastAsia="仿宋" w:cs="Times New Roman"/>
          <w:color w:val="auto"/>
          <w:spacing w:val="-3"/>
          <w:sz w:val="28"/>
          <w:szCs w:val="28"/>
          <w:lang w:eastAsia="zh-CN"/>
        </w:rPr>
        <w:t>强化文物保护工作。继续推进国保单位的保护工作，重点实施元代张应瑞家族墓地抢救性保护工程建设，积极推进梵宗寺安防工程、张应瑞家族墓地安防工程。强化文物保护责任制，落实文物（长城）长制，强化文物安全各级责任，建立健全文物安全责任体系；为“四级”文物保护单位合理配备文保员，落实文保员经费。实施翁牛特旗博物馆可移动文物数字化保护项目，开展文物展览展示。加强专业队伍建设，增加编制，引进专业人才，同时对现有人员进行业务培训和法律法规培训，提高专业技能和服务管理水平，适应新形势下工作的需要。</w:t>
      </w:r>
    </w:p>
    <w:p w14:paraId="78A3F439">
      <w:pPr>
        <w:spacing w:line="560" w:lineRule="exact"/>
        <w:ind w:firstLine="559"/>
        <w:jc w:val="both"/>
        <w:rPr>
          <w:rFonts w:ascii="Times New Roman" w:hAnsi="Times New Roman" w:eastAsia="仿宋" w:cs="Times New Roman"/>
          <w:color w:val="auto"/>
          <w:spacing w:val="-3"/>
          <w:sz w:val="28"/>
          <w:szCs w:val="28"/>
          <w:lang w:eastAsia="zh-CN"/>
        </w:rPr>
      </w:pPr>
      <w:r>
        <w:rPr>
          <w:rFonts w:ascii="Times New Roman" w:hAnsi="Times New Roman" w:eastAsia="仿宋" w:cs="Times New Roman"/>
          <w:color w:val="auto"/>
          <w:spacing w:val="-3"/>
          <w:sz w:val="28"/>
          <w:szCs w:val="28"/>
          <w:lang w:eastAsia="zh-CN"/>
        </w:rPr>
        <w:t>加强非物质文化遗产保护和传承。继续开展非遗项目和非遗传承人申报工作，启动“青牛白马的传说”“诺恩吉雅的故事”“翁牛特蒙古族婚礼”等重点项目申遗工作。以入驻文旅集散中心为契机，加快民族手工艺坊、非遗传统工艺工作站建设，集中非遗优势资源，推动传统工艺产业化；完善非遗展示馆。以建设非遗传统工艺工作站为依托，以“翁牛特蒙古族刺绣”为突破口，组建旗级单项协会，培树项目带头人，搭建发展平台，将“蒙古族最好的刺绣在翁牛特”的资源优势转化为产业优势，突破非遗资源转化的瓶颈，大力开展以蒙古族刺绣为题材的文创产品、旅游纪念品，打造具有一定竞争实力的文化产业，与国家振兴传统工艺、振兴乡村、巩固脱贫攻坚成果等战略部署紧密结合起来。加强传统工艺非遗项目挖掘、整理、申报、建档工作，大力开展非遗宣传、培训、观摩、学习、展览、展示、展演、比赛、进校园、进社区、进景区等活动，命名和扶持一批非遗传承保护基地（传习所），推动非遗整体性保护和生产性保护目标的实现。</w:t>
      </w:r>
    </w:p>
    <w:p w14:paraId="44DD1D14">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40" w:name="_Toc157239721"/>
      <w:bookmarkStart w:id="541" w:name="_Toc183187320"/>
      <w:r>
        <w:rPr>
          <w:rFonts w:ascii="Times New Roman" w:hAnsi="Times New Roman" w:eastAsia="仿宋" w:cs="Times New Roman"/>
          <w:b/>
          <w:bCs/>
          <w:color w:val="auto"/>
          <w:spacing w:val="-2"/>
          <w:sz w:val="28"/>
          <w:szCs w:val="28"/>
          <w:lang w:eastAsia="zh-CN"/>
        </w:rPr>
        <w:t>（二）繁荣发展公共文化事业</w:t>
      </w:r>
      <w:bookmarkEnd w:id="540"/>
      <w:bookmarkEnd w:id="541"/>
    </w:p>
    <w:p w14:paraId="71B1512B">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eastAsia="zh-CN"/>
        </w:rPr>
        <w:t>推动新闻广播、文学艺术事业繁荣发展。实施文艺作品质量提升工程，不断推出反映时代新气象、讴歌人民新创造的文艺精品。推进媒体深度融合发展，构建全媒体传播体系。实施文化惠民工程，加快文化艺术产品展示中心等项目建设，积极争取博物馆、文化馆、图书馆提档升级等项目，推动文化馆晋升国家一级文化馆，图书馆创建国家二级图书馆，不断增加公共文化服务供给。建成数字文化馆体验中心。完成总分馆制建设。组织开展农牧民文艺汇演、民间舞蹈艺术大赛、元宵灯谜晚会等为主的群众文化活动。进一步完善服务设施和服务体系，加快数字图书馆建设，推进总分馆建设，全力打造“全民阅读，书香翁旗”品牌，为全民阅读、提高国民综合素质和文明程度提供高质量的服务。加大乌兰牧骑事业建设力度，壮大乌兰牧骑队伍，筹划乌兰牧骑全面改革。</w:t>
      </w:r>
    </w:p>
    <w:p w14:paraId="3A83D4B5">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42" w:name="_Toc183187321"/>
      <w:bookmarkStart w:id="543" w:name="_Toc157239722"/>
      <w:r>
        <w:rPr>
          <w:rFonts w:ascii="Times New Roman" w:hAnsi="Times New Roman" w:eastAsia="仿宋" w:cs="Times New Roman"/>
          <w:b/>
          <w:bCs/>
          <w:color w:val="auto"/>
          <w:spacing w:val="-2"/>
          <w:sz w:val="28"/>
          <w:szCs w:val="28"/>
          <w:lang w:eastAsia="zh-CN"/>
        </w:rPr>
        <w:t>（三）加强生态文明宣传教育</w:t>
      </w:r>
      <w:bookmarkEnd w:id="542"/>
      <w:bookmarkEnd w:id="543"/>
    </w:p>
    <w:p w14:paraId="6E8407C8">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加强宣传教育力度。充分利用各级媒体，进行生态文化相关专题报道，制作专题片、微视频等进一步增强林草干部职工干事创业的凝聚力，丰富绿水青山就是金山银山内涵，满足人民群众对日益丰富的生态文化的需求，助推林草事业高质量发展。全力做好环境保护舆情监督工作，快速处置、回复媒体和网络投诉，加强网络舆情引导和管控，进一步强化意识形态工作责任制，坚持正面宣传为主，牢牢把握正确舆论导向，积极倡导绿色出行、绿色消费等绿色生活方式，加大生态环境宣传教育力度，继续开展环境日主题活动和新时代文明实践服务活动，通过环保公众开放、环境友好型企业、社区、学校创建等活动，引导人民群众自觉践行绿色发展理念，养成绿色生活习惯，以实际行动参与生态环境保护，全面提升环境质量公众满意度。</w:t>
      </w:r>
    </w:p>
    <w:p w14:paraId="5A2B704D">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拓展宣传活动形式。以植树节、生物多样性日、湿地日、爱鸟周等重要节日为契机，集中开展生态文化主题宣传教育活动，引领绿色低碳、文明健康的生产生活方式，促进全社会树立尊重自然、顺应自然、保护自然的生态文明理念。设立民间组织，积极组织各类传统的祭祀、舞蹈、赛马等活动，让人们有更多参与的途径和机会。通过传统活动，体现当地人民传统的生活、娱乐方式，展现民族文化特色。鼓励扶持乌兰牧骑等文化团体，创作独具特色的文化作品，创建翁牛特旗特有文化品牌。建立文化遗产保护日，结合开展传统文化活动，并举办比赛、展览展示、文艺演出等活动，宣传传统文化的同时丰富人们的业余文化生活。请专家学者进行文化讲座和宣讲活动，加深民众对传统文化的认识和深入了解。同时将传统文化活动与旅游结合在一起，提升传统文化发展空间，着重发展生态旅游。通过对传统文化的深入挖掘，继承传统文化中的生态保护思想，发扬传统文化中关于生态的理念，为翁牛特旗培育生态文化体系提供借鉴，为翁牛特旗的生态治理提供有效的参考。</w:t>
      </w:r>
    </w:p>
    <w:p w14:paraId="4F80227F">
      <w:pPr>
        <w:kinsoku/>
        <w:spacing w:line="560" w:lineRule="exact"/>
        <w:ind w:firstLine="561"/>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强化生态文明培训。动员党内领导干部参加生态文明培训，将学习贯彻习近平生态文明思想纳入各级旗委理论学习中心组学习的重要内容，提升全旗干部的生态文明认识水平和科技知识。党政干部参加生态文明培训的人数比例保持100%。生态环境部门在宣传部门支持下，从高校、党校、党政机关等抽调经验丰富的领导干部和专家学者组建习近平生态文明思想宣讲团，将习近平生态文明思想与百姓关心的生态环境问题有机结合，找准情感共鸣点，提高话语感染力，增强思想说服力，通过线上和线下多种形式，面向党政机关、企业、学校、社区、农村等开展大宣讲活动。动员全民参与生态文明建设，倡导绿色低碳生活，组织开展“六·五”环境日、地球日、生物多样性日等系列生态文明公众开放活动。加快生态文化载体建设，积极推动社会各界和公众广泛参与生态文明建设。提升公众对生态文明建设的满意度。扩大宣传教育范围，利用微信、微博等网络媒体，广泛宣传生态环境法律法规常识，切实提升群众对生态环境的认知度、参与度、满意度、信心度和获得感。</w:t>
      </w:r>
    </w:p>
    <w:p w14:paraId="01B84AE4">
      <w:pPr>
        <w:spacing w:line="560" w:lineRule="exact"/>
        <w:ind w:firstLine="554" w:firstLineChars="200"/>
        <w:jc w:val="both"/>
        <w:outlineLvl w:val="2"/>
        <w:rPr>
          <w:rFonts w:ascii="Times New Roman" w:hAnsi="Times New Roman" w:eastAsia="仿宋" w:cs="Times New Roman"/>
          <w:b/>
          <w:bCs/>
          <w:color w:val="auto"/>
          <w:spacing w:val="-2"/>
          <w:sz w:val="28"/>
          <w:szCs w:val="28"/>
          <w:lang w:eastAsia="zh-CN"/>
        </w:rPr>
      </w:pPr>
      <w:bookmarkStart w:id="544" w:name="_Toc183187322"/>
      <w:bookmarkStart w:id="545" w:name="_Toc157239723"/>
      <w:r>
        <w:rPr>
          <w:rFonts w:ascii="Times New Roman" w:hAnsi="Times New Roman" w:eastAsia="仿宋" w:cs="Times New Roman"/>
          <w:b/>
          <w:bCs/>
          <w:color w:val="auto"/>
          <w:spacing w:val="-2"/>
          <w:sz w:val="28"/>
          <w:szCs w:val="28"/>
          <w:lang w:eastAsia="zh-CN"/>
        </w:rPr>
        <w:t>（四）促进生态文明共建共享</w:t>
      </w:r>
      <w:bookmarkEnd w:id="544"/>
      <w:bookmarkEnd w:id="545"/>
    </w:p>
    <w:p w14:paraId="161DBDC2">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加强专业人才培养</w:t>
      </w:r>
      <w:r>
        <w:rPr>
          <w:rFonts w:ascii="Times New Roman" w:hAnsi="Times New Roman" w:eastAsia="仿宋" w:cs="Times New Roman"/>
          <w:color w:val="auto"/>
          <w:spacing w:val="-3"/>
          <w:sz w:val="28"/>
          <w:szCs w:val="28"/>
          <w:lang w:eastAsia="zh-CN"/>
        </w:rPr>
        <w:t>。</w:t>
      </w:r>
      <w:r>
        <w:rPr>
          <w:rFonts w:ascii="Times New Roman" w:hAnsi="Times New Roman" w:eastAsia="仿宋" w:cs="Times New Roman"/>
          <w:color w:val="auto"/>
          <w:spacing w:val="-3"/>
          <w:sz w:val="28"/>
          <w:szCs w:val="28"/>
          <w:lang w:val="zh-CN" w:eastAsia="zh-CN"/>
        </w:rPr>
        <w:t>建立健全文化旅游人才引进、评价、激励机制，通过“请进来，走出去”方式，创新推进翁牛特旗旗专家智库、行政队伍、专业人才队伍、乡土人才队伍建设，为文旅有序发展打下良好基础。积极对接与区内外大中专院校签订战略合作协议，持续开展培训、培养工作，重点培养地方文艺创作、文化遗产保护传承、文化旅游产业、公益性文化服务等专业人才，积极争取各级人才工作站开展人才引进工作。完善人才激励措施，建立健全人才培养激励机制。抓好文化专业队伍的常态化培训教育，立足本地文化旅游业余爱好者和基层公益性辅助岗位，加强乡土文旅融合人才培训引导工作。组建一支当地品牌性文化旅游服务志愿者队伍。努力打造一支适应文化和旅游高质量发展的高素质人才队伍。以社会主义核心价值观为引领，充分发挥文化引领风尚、教育人民、服务社会、推动发展的作用，抓好文化宣传推广工作，加强社会主义精神文明建设，提高社会文明程度，调动全旗各行各业参与文化旅游建设，共享文化旅游成果，努力建设传统文化与现代文明交相辉映、先进文化与先进生产力相互促进的更加繁荣富裕、和谐美好的绿色</w:t>
      </w:r>
      <w:r>
        <w:rPr>
          <w:rFonts w:ascii="Times New Roman" w:hAnsi="Times New Roman" w:eastAsia="仿宋" w:cs="Times New Roman"/>
          <w:color w:val="auto"/>
          <w:spacing w:val="-3"/>
          <w:sz w:val="28"/>
          <w:szCs w:val="28"/>
          <w:lang w:eastAsia="zh-CN"/>
        </w:rPr>
        <w:t>翁旗</w:t>
      </w:r>
      <w:r>
        <w:rPr>
          <w:rFonts w:ascii="Times New Roman" w:hAnsi="Times New Roman" w:eastAsia="仿宋" w:cs="Times New Roman"/>
          <w:color w:val="auto"/>
          <w:spacing w:val="-3"/>
          <w:sz w:val="28"/>
          <w:szCs w:val="28"/>
          <w:lang w:val="zh-CN" w:eastAsia="zh-CN"/>
        </w:rPr>
        <w:t>。通过图文、视频、宣传海报、媒体平台等方式推广</w:t>
      </w:r>
      <w:r>
        <w:rPr>
          <w:rFonts w:ascii="Times New Roman" w:hAnsi="Times New Roman" w:eastAsia="仿宋" w:cs="Times New Roman"/>
          <w:color w:val="auto"/>
          <w:spacing w:val="-3"/>
          <w:sz w:val="28"/>
          <w:szCs w:val="28"/>
          <w:lang w:eastAsia="zh-CN"/>
        </w:rPr>
        <w:t>翁旗</w:t>
      </w:r>
      <w:r>
        <w:rPr>
          <w:rFonts w:ascii="Times New Roman" w:hAnsi="Times New Roman" w:eastAsia="仿宋" w:cs="Times New Roman"/>
          <w:color w:val="auto"/>
          <w:spacing w:val="-3"/>
          <w:sz w:val="28"/>
          <w:szCs w:val="28"/>
          <w:lang w:val="zh-CN" w:eastAsia="zh-CN"/>
        </w:rPr>
        <w:t>文化亮点、典型经验。组织开展各类文化和旅游活动，打响</w:t>
      </w:r>
      <w:r>
        <w:rPr>
          <w:rFonts w:ascii="Times New Roman" w:hAnsi="Times New Roman" w:eastAsia="仿宋" w:cs="Times New Roman"/>
          <w:color w:val="auto"/>
          <w:spacing w:val="-3"/>
          <w:sz w:val="28"/>
          <w:szCs w:val="28"/>
          <w:lang w:eastAsia="zh-CN"/>
        </w:rPr>
        <w:t>翁旗</w:t>
      </w:r>
      <w:r>
        <w:rPr>
          <w:rFonts w:ascii="Times New Roman" w:hAnsi="Times New Roman" w:eastAsia="仿宋" w:cs="Times New Roman"/>
          <w:color w:val="auto"/>
          <w:spacing w:val="-3"/>
          <w:sz w:val="28"/>
          <w:szCs w:val="28"/>
          <w:lang w:val="zh-CN" w:eastAsia="zh-CN"/>
        </w:rPr>
        <w:t>特色文化品牌。</w:t>
      </w:r>
    </w:p>
    <w:p w14:paraId="0E058669">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优化市场营商环境。以防范化解影响安全稳定的突出风险为重点，创新执法形式，努力营造“公平、公正、公开”的执法环境，实现执法工作法制化、规范化、科学化，构建公平开放、繁荣有序、健康向上的文化旅游市场体系，提高服务管控及业务能力，加强文明旅游群众性创建工作。对接国家文化市场技术监管服务平台，建设信用监管为核心的事中事后监管体系，强化文化旅游市场日常监管和专项检查力度。高标准建设文化旅游市场大数据监管平台，推进行政执法工作由“处罚型”向“服务型”转变，优化营商环境，对融合发展的新业态加强关注和引导，力争全旗文化旅游市场监管工作再上新台阶。</w:t>
      </w:r>
    </w:p>
    <w:p w14:paraId="4148C1FE">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建设智慧文化设施。促进文化资源数字化转化和开发利用，推进与数字技术的新形式新要素结合，让优秀文化资源借助数字技术“活起来”。继续实施中国传统工艺振兴计划，加强对传统工艺的传承保护和开发创新，全面提高传统工艺产品的整体品质和市场竞争力。促进曲艺、民乐等传统艺术线上发展，鼓励文艺院团、文艺工作者、非物质文化遗产传承人利用互联网平台进行演播。鼓励传统文化行业与互联网平台企业合作，规范推广流量转化、体验付费、服务运营等模式。充分运用数字文化产业形态推动翁牛特旗玉龙文化，草原沙漠文化等优秀传统文化创造性转化、创新性发展，继承历史传统文化和革命文化，发展生态文化，打造更多具有影响力的数字文化品牌。促进生态文化与社交电商、网络直播、短视频等在线新经济结合，支持基于知识传播、经验分享的创新平台发展。促进数字文化产业赋能实体经济，从而有助于生态文化的可持续发展。推进翁牛特旗“智慧旅游”数字平台建设，提高A级旅游景区、图书馆、文化馆、博物馆等场馆数字化、智能化水平。加大数字文旅资金投入力度，鼓励景区借助5G技术，打造虚拟和现实相结合的新一代沉浸式体验型文旅业态，推动网络直播平台、短视频、云展厅、云旅游等线上服务。通过AI、高清视频、AR、VR、全息影像等先进技术的融合，为文旅产业的传播和创新提供强有力的支撑。</w:t>
      </w:r>
    </w:p>
    <w:p w14:paraId="2F7E39B7">
      <w:pPr>
        <w:spacing w:line="560" w:lineRule="exact"/>
        <w:ind w:firstLine="559"/>
        <w:jc w:val="both"/>
        <w:rPr>
          <w:rFonts w:ascii="Times New Roman" w:hAnsi="Times New Roman" w:eastAsia="仿宋" w:cs="Times New Roman"/>
          <w:color w:val="auto"/>
          <w:spacing w:val="-3"/>
          <w:sz w:val="28"/>
          <w:szCs w:val="28"/>
          <w:lang w:val="zh-CN" w:eastAsia="zh-CN"/>
        </w:rPr>
        <w:sectPr>
          <w:headerReference r:id="rId11" w:type="default"/>
          <w:footerReference r:id="rId12" w:type="default"/>
          <w:pgSz w:w="11910" w:h="16840"/>
          <w:pgMar w:top="1440" w:right="1797" w:bottom="1440" w:left="1797" w:header="1020" w:footer="1020" w:gutter="0"/>
          <w:cols w:space="720" w:num="1"/>
          <w:docGrid w:linePitch="299" w:charSpace="0"/>
        </w:sectPr>
      </w:pPr>
    </w:p>
    <w:p w14:paraId="1878DDCD">
      <w:pPr>
        <w:pStyle w:val="2"/>
        <w:jc w:val="center"/>
        <w:rPr>
          <w:rFonts w:hint="default" w:ascii="Times New Roman" w:hAnsi="Times New Roman"/>
          <w:color w:val="auto"/>
        </w:rPr>
      </w:pPr>
      <w:bookmarkStart w:id="546" w:name="_Toc183187323"/>
      <w:r>
        <w:rPr>
          <w:rFonts w:hint="default" w:ascii="Times New Roman" w:hAnsi="Times New Roman"/>
          <w:color w:val="auto"/>
        </w:rPr>
        <w:t>第八章 重点工程与效益分析</w:t>
      </w:r>
      <w:bookmarkEnd w:id="546"/>
      <w:bookmarkStart w:id="547" w:name="bookmark104"/>
      <w:bookmarkEnd w:id="547"/>
      <w:bookmarkStart w:id="548" w:name="bookmark101"/>
      <w:bookmarkEnd w:id="548"/>
      <w:bookmarkStart w:id="549" w:name="bookmark103"/>
      <w:bookmarkEnd w:id="549"/>
      <w:bookmarkStart w:id="550" w:name="bookmark102"/>
      <w:bookmarkEnd w:id="550"/>
    </w:p>
    <w:p w14:paraId="6FE1BD6A">
      <w:pPr>
        <w:pStyle w:val="3"/>
        <w:tabs>
          <w:tab w:val="left" w:pos="7371"/>
        </w:tabs>
        <w:rPr>
          <w:rFonts w:ascii="Times New Roman" w:hAnsi="Times New Roman" w:cs="Times New Roman"/>
          <w:color w:val="auto"/>
          <w:lang w:eastAsia="zh-CN"/>
        </w:rPr>
      </w:pPr>
      <w:bookmarkStart w:id="551" w:name="_Toc183187324"/>
      <w:r>
        <w:rPr>
          <w:rFonts w:ascii="Times New Roman" w:hAnsi="Times New Roman" w:cs="Times New Roman"/>
          <w:color w:val="auto"/>
          <w:lang w:eastAsia="zh-CN"/>
        </w:rPr>
        <w:t>一、工程内容与投资估算</w:t>
      </w:r>
      <w:bookmarkEnd w:id="551"/>
    </w:p>
    <w:p w14:paraId="422C7156">
      <w:pPr>
        <w:spacing w:line="560" w:lineRule="exact"/>
        <w:ind w:firstLine="559"/>
        <w:jc w:val="both"/>
        <w:rPr>
          <w:rFonts w:ascii="Times New Roman" w:hAnsi="Times New Roman" w:eastAsia="仿宋" w:cs="Times New Roman"/>
          <w:color w:val="auto"/>
          <w:sz w:val="28"/>
          <w:szCs w:val="28"/>
          <w:lang w:eastAsia="zh-CN"/>
        </w:rPr>
      </w:pPr>
      <w:r>
        <w:rPr>
          <w:rFonts w:ascii="Times New Roman" w:hAnsi="Times New Roman" w:eastAsia="仿宋" w:cs="Times New Roman"/>
          <w:color w:val="auto"/>
          <w:spacing w:val="-4"/>
          <w:sz w:val="28"/>
          <w:szCs w:val="28"/>
          <w:lang w:eastAsia="zh-CN"/>
        </w:rPr>
        <w:t>规划重点工程分为生态安全建设工程、生态经济建设工程、生态文化建设工程三大类，共计</w:t>
      </w:r>
      <w:r>
        <w:rPr>
          <w:rFonts w:ascii="Times New Roman" w:hAnsi="Times New Roman" w:eastAsia="Times New Roman" w:cs="Times New Roman"/>
          <w:color w:val="auto"/>
          <w:spacing w:val="-4"/>
          <w:sz w:val="28"/>
          <w:szCs w:val="28"/>
          <w:lang w:eastAsia="zh-CN"/>
        </w:rPr>
        <w:t>3</w:t>
      </w:r>
      <w:r>
        <w:rPr>
          <w:rFonts w:ascii="Times New Roman" w:hAnsi="Times New Roman" w:eastAsia="仿宋" w:cs="Times New Roman"/>
          <w:color w:val="auto"/>
          <w:spacing w:val="-4"/>
          <w:sz w:val="28"/>
          <w:szCs w:val="28"/>
          <w:lang w:eastAsia="zh-CN"/>
        </w:rPr>
        <w:t>项，总投资</w:t>
      </w:r>
      <w:r>
        <w:rPr>
          <w:rFonts w:hint="eastAsia" w:ascii="Times New Roman" w:hAnsi="Times New Roman" w:eastAsia="仿宋" w:cs="Times New Roman"/>
          <w:color w:val="auto"/>
          <w:spacing w:val="-4"/>
          <w:sz w:val="28"/>
          <w:szCs w:val="28"/>
          <w:lang w:eastAsia="zh-CN"/>
        </w:rPr>
        <w:t>199.075</w:t>
      </w:r>
      <w:r>
        <w:rPr>
          <w:rFonts w:ascii="Times New Roman" w:hAnsi="Times New Roman" w:eastAsia="仿宋" w:cs="Times New Roman"/>
          <w:color w:val="auto"/>
          <w:spacing w:val="-4"/>
          <w:sz w:val="28"/>
          <w:szCs w:val="28"/>
          <w:lang w:eastAsia="zh-CN"/>
        </w:rPr>
        <w:t>亿元。</w:t>
      </w:r>
    </w:p>
    <w:p w14:paraId="3E04C463">
      <w:pPr>
        <w:pStyle w:val="3"/>
        <w:tabs>
          <w:tab w:val="left" w:pos="7371"/>
        </w:tabs>
        <w:rPr>
          <w:rFonts w:ascii="Times New Roman" w:hAnsi="Times New Roman" w:cs="Times New Roman"/>
          <w:color w:val="auto"/>
          <w:lang w:eastAsia="zh-CN"/>
        </w:rPr>
      </w:pPr>
      <w:bookmarkStart w:id="552" w:name="bookmark105"/>
      <w:bookmarkEnd w:id="552"/>
      <w:bookmarkStart w:id="553" w:name="bookmark106"/>
      <w:bookmarkEnd w:id="553"/>
      <w:bookmarkStart w:id="554" w:name="_Toc183187325"/>
      <w:r>
        <w:rPr>
          <w:rFonts w:ascii="Times New Roman" w:hAnsi="Times New Roman" w:cs="Times New Roman"/>
          <w:color w:val="auto"/>
          <w:lang w:eastAsia="zh-CN"/>
        </w:rPr>
        <w:t>二、效益分析</w:t>
      </w:r>
      <w:bookmarkEnd w:id="554"/>
    </w:p>
    <w:p w14:paraId="57EEE321">
      <w:pPr>
        <w:spacing w:line="560" w:lineRule="exact"/>
        <w:ind w:firstLine="578"/>
        <w:jc w:val="both"/>
        <w:rPr>
          <w:rFonts w:ascii="Times New Roman" w:hAnsi="Times New Roman" w:eastAsia="仿宋" w:cs="Times New Roman"/>
          <w:color w:val="auto"/>
          <w:sz w:val="28"/>
          <w:szCs w:val="28"/>
          <w:lang w:eastAsia="zh-CN"/>
        </w:rPr>
      </w:pPr>
      <w:r>
        <w:rPr>
          <w:rFonts w:ascii="Times New Roman" w:hAnsi="Times New Roman" w:eastAsia="仿宋" w:cs="Times New Roman"/>
          <w:b/>
          <w:bCs/>
          <w:color w:val="auto"/>
          <w:spacing w:val="-6"/>
          <w:sz w:val="28"/>
          <w:szCs w:val="28"/>
          <w:lang w:eastAsia="zh-CN"/>
        </w:rPr>
        <w:t>生态环境效益。</w:t>
      </w:r>
      <w:r>
        <w:rPr>
          <w:rFonts w:ascii="Times New Roman" w:hAnsi="Times New Roman" w:eastAsia="仿宋" w:cs="Times New Roman"/>
          <w:color w:val="auto"/>
          <w:spacing w:val="-6"/>
          <w:sz w:val="28"/>
          <w:szCs w:val="28"/>
          <w:lang w:eastAsia="zh-CN"/>
        </w:rPr>
        <w:t>提升生态环境质量，水环境质量与大气环境质量</w:t>
      </w:r>
      <w:r>
        <w:rPr>
          <w:rFonts w:ascii="Times New Roman" w:hAnsi="Times New Roman" w:eastAsia="仿宋" w:cs="Times New Roman"/>
          <w:color w:val="auto"/>
          <w:spacing w:val="-4"/>
          <w:sz w:val="28"/>
          <w:szCs w:val="28"/>
          <w:lang w:eastAsia="zh-CN"/>
        </w:rPr>
        <w:t>是生态文明示范区建设的首要任务之一，将其作为生态文明建设的约束性指标是生态文明规划的重点内容。通过规划实施，</w:t>
      </w:r>
      <w:r>
        <w:rPr>
          <w:rFonts w:ascii="Times New Roman" w:hAnsi="Times New Roman" w:eastAsia="仿宋" w:cs="Times New Roman"/>
          <w:color w:val="auto"/>
          <w:spacing w:val="-4"/>
          <w:sz w:val="28"/>
          <w:szCs w:val="28"/>
          <w:lang w:eastAsia="zh"/>
        </w:rPr>
        <w:t>翁牛特旗</w:t>
      </w:r>
      <w:r>
        <w:rPr>
          <w:rFonts w:ascii="Times New Roman" w:hAnsi="Times New Roman" w:eastAsia="仿宋" w:cs="Times New Roman"/>
          <w:color w:val="auto"/>
          <w:spacing w:val="-4"/>
          <w:sz w:val="28"/>
          <w:szCs w:val="28"/>
          <w:lang w:eastAsia="zh-CN"/>
        </w:rPr>
        <w:t>生态环境将得到进一步保护，区域环境基础设施不断完善，固体废弃物处置</w:t>
      </w:r>
      <w:r>
        <w:rPr>
          <w:rFonts w:ascii="Times New Roman" w:hAnsi="Times New Roman" w:eastAsia="仿宋" w:cs="Times New Roman"/>
          <w:color w:val="auto"/>
          <w:spacing w:val="1"/>
          <w:sz w:val="28"/>
          <w:szCs w:val="28"/>
          <w:lang w:eastAsia="zh-CN"/>
        </w:rPr>
        <w:t>更加规范，环境应急管理更加健全。生态文明建设规划近期恰逢</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十四五</w:t>
      </w:r>
      <w:r>
        <w:rPr>
          <w:rFonts w:ascii="Times New Roman" w:hAnsi="Times New Roman" w:eastAsia="Times New Roman" w:cs="Times New Roman"/>
          <w:color w:val="auto"/>
          <w:spacing w:val="1"/>
          <w:sz w:val="28"/>
          <w:szCs w:val="28"/>
          <w:lang w:eastAsia="zh-CN"/>
        </w:rPr>
        <w:t>”</w:t>
      </w:r>
      <w:r>
        <w:rPr>
          <w:rFonts w:ascii="Times New Roman" w:hAnsi="Times New Roman" w:eastAsia="仿宋" w:cs="Times New Roman"/>
          <w:color w:val="auto"/>
          <w:spacing w:val="1"/>
          <w:sz w:val="28"/>
          <w:szCs w:val="28"/>
          <w:lang w:eastAsia="zh-CN"/>
        </w:rPr>
        <w:t>期间，通过污染防治攻坚战、生态文明规划及生态环境各项专</w:t>
      </w:r>
      <w:r>
        <w:rPr>
          <w:rFonts w:ascii="Times New Roman" w:hAnsi="Times New Roman" w:eastAsia="仿宋" w:cs="Times New Roman"/>
          <w:color w:val="auto"/>
          <w:spacing w:val="-4"/>
          <w:sz w:val="28"/>
          <w:szCs w:val="28"/>
          <w:lang w:eastAsia="zh-CN"/>
        </w:rPr>
        <w:t>项规划，</w:t>
      </w:r>
      <w:r>
        <w:rPr>
          <w:rFonts w:ascii="Times New Roman" w:hAnsi="Times New Roman" w:eastAsia="仿宋" w:cs="Times New Roman"/>
          <w:color w:val="auto"/>
          <w:spacing w:val="-4"/>
          <w:sz w:val="28"/>
          <w:szCs w:val="28"/>
          <w:lang w:eastAsia="zh"/>
        </w:rPr>
        <w:t>翁牛特旗</w:t>
      </w:r>
      <w:r>
        <w:rPr>
          <w:rFonts w:ascii="Times New Roman" w:hAnsi="Times New Roman" w:eastAsia="仿宋" w:cs="Times New Roman"/>
          <w:color w:val="auto"/>
          <w:spacing w:val="-4"/>
          <w:sz w:val="28"/>
          <w:szCs w:val="28"/>
          <w:lang w:eastAsia="zh-CN"/>
        </w:rPr>
        <w:t>空气优良率稳定保持，污染减排任务完成上级考核任</w:t>
      </w:r>
      <w:r>
        <w:rPr>
          <w:rFonts w:ascii="Times New Roman" w:hAnsi="Times New Roman" w:eastAsia="仿宋" w:cs="Times New Roman"/>
          <w:color w:val="auto"/>
          <w:spacing w:val="-1"/>
          <w:sz w:val="28"/>
          <w:szCs w:val="28"/>
          <w:lang w:eastAsia="zh-CN"/>
        </w:rPr>
        <w:t>务；水环境质量持续改善，实现稳中向好，劣</w:t>
      </w:r>
      <w:r>
        <w:rPr>
          <w:rFonts w:ascii="Times New Roman" w:hAnsi="Times New Roman" w:eastAsia="Times New Roman" w:cs="Times New Roman"/>
          <w:color w:val="auto"/>
          <w:spacing w:val="-1"/>
          <w:sz w:val="28"/>
          <w:szCs w:val="28"/>
          <w:lang w:eastAsia="zh-CN"/>
        </w:rPr>
        <w:t>Ⅴ</w:t>
      </w:r>
      <w:r>
        <w:rPr>
          <w:rFonts w:ascii="Times New Roman" w:hAnsi="Times New Roman" w:eastAsia="仿宋" w:cs="Times New Roman"/>
          <w:color w:val="auto"/>
          <w:spacing w:val="-1"/>
          <w:sz w:val="28"/>
          <w:szCs w:val="28"/>
          <w:lang w:eastAsia="zh-CN"/>
        </w:rPr>
        <w:t>类水体和</w:t>
      </w:r>
      <w:r>
        <w:rPr>
          <w:rFonts w:ascii="Times New Roman" w:hAnsi="Times New Roman" w:eastAsia="仿宋" w:cs="Times New Roman"/>
          <w:color w:val="auto"/>
          <w:spacing w:val="-2"/>
          <w:sz w:val="28"/>
          <w:szCs w:val="28"/>
          <w:lang w:eastAsia="zh-CN"/>
        </w:rPr>
        <w:t>黑臭水体全</w:t>
      </w:r>
      <w:r>
        <w:rPr>
          <w:rFonts w:ascii="Times New Roman" w:hAnsi="Times New Roman" w:eastAsia="仿宋" w:cs="Times New Roman"/>
          <w:color w:val="auto"/>
          <w:spacing w:val="-4"/>
          <w:sz w:val="28"/>
          <w:szCs w:val="28"/>
          <w:lang w:eastAsia="zh-CN"/>
        </w:rPr>
        <w:t>面消除；城镇生活污水得到有效治理，城镇垃圾及乡村垃圾收运体系不断完善；通过生态优先战略，构筑生态安全屏障，持续加强生态系</w:t>
      </w:r>
      <w:r>
        <w:rPr>
          <w:rFonts w:ascii="Times New Roman" w:hAnsi="Times New Roman" w:eastAsia="仿宋" w:cs="Times New Roman"/>
          <w:color w:val="auto"/>
          <w:spacing w:val="-1"/>
          <w:sz w:val="28"/>
          <w:szCs w:val="28"/>
          <w:lang w:eastAsia="zh-CN"/>
        </w:rPr>
        <w:t>统与生物多样性保护，完善生物多样性保护网络体系。</w:t>
      </w:r>
    </w:p>
    <w:p w14:paraId="028C48AD">
      <w:pPr>
        <w:spacing w:line="560" w:lineRule="exact"/>
        <w:ind w:firstLine="562"/>
        <w:jc w:val="both"/>
        <w:rPr>
          <w:rFonts w:ascii="Times New Roman" w:hAnsi="Times New Roman" w:eastAsia="仿宋" w:cs="Times New Roman"/>
          <w:color w:val="auto"/>
          <w:sz w:val="28"/>
          <w:szCs w:val="28"/>
          <w:lang w:eastAsia="zh-CN"/>
        </w:rPr>
      </w:pPr>
      <w:r>
        <w:rPr>
          <w:rFonts w:ascii="Times New Roman" w:hAnsi="Times New Roman" w:eastAsia="仿宋" w:cs="Times New Roman"/>
          <w:b/>
          <w:bCs/>
          <w:color w:val="auto"/>
          <w:spacing w:val="-5"/>
          <w:sz w:val="28"/>
          <w:szCs w:val="28"/>
          <w:lang w:eastAsia="zh-CN"/>
        </w:rPr>
        <w:t>经济效益。</w:t>
      </w:r>
      <w:r>
        <w:rPr>
          <w:rFonts w:ascii="Times New Roman" w:hAnsi="Times New Roman" w:eastAsia="仿宋" w:cs="Times New Roman"/>
          <w:color w:val="auto"/>
          <w:spacing w:val="-5"/>
          <w:sz w:val="28"/>
          <w:szCs w:val="28"/>
          <w:lang w:eastAsia="zh-CN"/>
        </w:rPr>
        <w:t>生态文明建设能够有效改善环境、提升形象，是城市</w:t>
      </w:r>
      <w:r>
        <w:rPr>
          <w:rFonts w:ascii="Times New Roman" w:hAnsi="Times New Roman" w:eastAsia="仿宋" w:cs="Times New Roman"/>
          <w:color w:val="auto"/>
          <w:spacing w:val="-4"/>
          <w:sz w:val="28"/>
          <w:szCs w:val="28"/>
          <w:lang w:eastAsia="zh-CN"/>
        </w:rPr>
        <w:t>的无形资产，是吸引投资的重要基础条件。良好的生态环境是一个地区特殊的经济增长点。生态文明建设期间，</w:t>
      </w:r>
      <w:r>
        <w:rPr>
          <w:rFonts w:ascii="Times New Roman" w:hAnsi="Times New Roman" w:eastAsia="仿宋" w:cs="Times New Roman"/>
          <w:color w:val="auto"/>
          <w:spacing w:val="-4"/>
          <w:sz w:val="28"/>
          <w:szCs w:val="28"/>
          <w:lang w:eastAsia="zh"/>
        </w:rPr>
        <w:t>翁牛特旗</w:t>
      </w:r>
      <w:r>
        <w:rPr>
          <w:rFonts w:ascii="Times New Roman" w:hAnsi="Times New Roman" w:eastAsia="仿宋" w:cs="Times New Roman"/>
          <w:color w:val="auto"/>
          <w:spacing w:val="-4"/>
          <w:sz w:val="28"/>
          <w:szCs w:val="28"/>
          <w:lang w:eastAsia="zh-CN"/>
        </w:rPr>
        <w:t>将投入大量资金加</w:t>
      </w:r>
      <w:r>
        <w:rPr>
          <w:rFonts w:ascii="Times New Roman" w:hAnsi="Times New Roman" w:eastAsia="仿宋" w:cs="Times New Roman"/>
          <w:color w:val="auto"/>
          <w:spacing w:val="-14"/>
          <w:sz w:val="28"/>
          <w:szCs w:val="28"/>
          <w:lang w:eastAsia="zh-CN"/>
        </w:rPr>
        <w:t>强环境基础设施建设、优化景观格局、构筑绿色产业、提升生态文化。</w:t>
      </w:r>
      <w:r>
        <w:rPr>
          <w:rFonts w:ascii="Times New Roman" w:hAnsi="Times New Roman" w:eastAsia="仿宋" w:cs="Times New Roman"/>
          <w:color w:val="auto"/>
          <w:spacing w:val="-4"/>
          <w:sz w:val="28"/>
          <w:szCs w:val="28"/>
          <w:lang w:eastAsia="zh-CN"/>
        </w:rPr>
        <w:t>通过生态文明建设示范区规划的实施，将进一步激发绿色低碳高新产业发展，降低产业发展对资源能源消耗，节约水电资源投入，提升资</w:t>
      </w:r>
      <w:r>
        <w:rPr>
          <w:rFonts w:ascii="Times New Roman" w:hAnsi="Times New Roman" w:eastAsia="仿宋" w:cs="Times New Roman"/>
          <w:color w:val="auto"/>
          <w:spacing w:val="-2"/>
          <w:sz w:val="28"/>
          <w:szCs w:val="28"/>
          <w:lang w:eastAsia="zh-CN"/>
        </w:rPr>
        <w:t>源能源利用效率，严控新增建设用地规模，降低了单位</w:t>
      </w:r>
      <w:r>
        <w:rPr>
          <w:rFonts w:ascii="Times New Roman" w:hAnsi="Times New Roman" w:eastAsia="Times New Roman" w:cs="Times New Roman"/>
          <w:color w:val="auto"/>
          <w:spacing w:val="-2"/>
          <w:sz w:val="28"/>
          <w:szCs w:val="28"/>
          <w:lang w:eastAsia="zh-CN"/>
        </w:rPr>
        <w:t>GDP</w:t>
      </w:r>
      <w:r>
        <w:rPr>
          <w:rFonts w:ascii="Times New Roman" w:hAnsi="Times New Roman" w:eastAsia="仿宋" w:cs="Times New Roman"/>
          <w:color w:val="auto"/>
          <w:spacing w:val="-2"/>
          <w:sz w:val="28"/>
          <w:szCs w:val="28"/>
          <w:lang w:eastAsia="zh-CN"/>
        </w:rPr>
        <w:t>能</w:t>
      </w:r>
      <w:r>
        <w:rPr>
          <w:rFonts w:ascii="Times New Roman" w:hAnsi="Times New Roman" w:eastAsia="仿宋" w:cs="Times New Roman"/>
          <w:color w:val="auto"/>
          <w:spacing w:val="-3"/>
          <w:sz w:val="28"/>
          <w:szCs w:val="28"/>
          <w:lang w:eastAsia="zh-CN"/>
        </w:rPr>
        <w:t>耗与</w:t>
      </w:r>
      <w:r>
        <w:rPr>
          <w:rFonts w:ascii="Times New Roman" w:hAnsi="Times New Roman" w:eastAsia="仿宋" w:cs="Times New Roman"/>
          <w:color w:val="auto"/>
          <w:spacing w:val="-4"/>
          <w:sz w:val="28"/>
          <w:szCs w:val="28"/>
          <w:lang w:eastAsia="zh-CN"/>
        </w:rPr>
        <w:t>用水量，增加了单位面积建设用地经济产出，提高了绿色经济产品附加值。加强固体废物处置和管理，提升农业废弃物资源化利用率，提</w:t>
      </w:r>
      <w:r>
        <w:rPr>
          <w:rFonts w:ascii="Times New Roman" w:hAnsi="Times New Roman" w:eastAsia="仿宋" w:cs="Times New Roman"/>
          <w:color w:val="auto"/>
          <w:spacing w:val="-10"/>
          <w:sz w:val="28"/>
          <w:szCs w:val="28"/>
          <w:lang w:eastAsia="zh-CN"/>
        </w:rPr>
        <w:t>高生产清洁化水平，奠定</w:t>
      </w:r>
      <w:r>
        <w:rPr>
          <w:rFonts w:ascii="Times New Roman" w:hAnsi="Times New Roman" w:eastAsia="仿宋" w:cs="Times New Roman"/>
          <w:color w:val="auto"/>
          <w:spacing w:val="-10"/>
          <w:sz w:val="28"/>
          <w:szCs w:val="28"/>
          <w:lang w:eastAsia="zh"/>
        </w:rPr>
        <w:t>翁牛特旗</w:t>
      </w:r>
      <w:r>
        <w:rPr>
          <w:rFonts w:ascii="Times New Roman" w:hAnsi="Times New Roman" w:eastAsia="仿宋" w:cs="Times New Roman"/>
          <w:color w:val="auto"/>
          <w:spacing w:val="-10"/>
          <w:sz w:val="28"/>
          <w:szCs w:val="28"/>
          <w:lang w:eastAsia="zh-CN"/>
        </w:rPr>
        <w:t>良好的生态环境基础，增加城市</w:t>
      </w:r>
      <w:r>
        <w:rPr>
          <w:rFonts w:ascii="Times New Roman" w:hAnsi="Times New Roman" w:eastAsia="仿宋" w:cs="Times New Roman"/>
          <w:color w:val="auto"/>
          <w:spacing w:val="-11"/>
          <w:sz w:val="28"/>
          <w:szCs w:val="28"/>
          <w:lang w:eastAsia="zh-CN"/>
        </w:rPr>
        <w:t>魅力，</w:t>
      </w:r>
      <w:r>
        <w:rPr>
          <w:rFonts w:ascii="Times New Roman" w:hAnsi="Times New Roman" w:eastAsia="仿宋" w:cs="Times New Roman"/>
          <w:color w:val="auto"/>
          <w:spacing w:val="-2"/>
          <w:sz w:val="28"/>
          <w:szCs w:val="28"/>
          <w:lang w:eastAsia="zh-CN"/>
        </w:rPr>
        <w:t>从而拉动投资，激发经济活力。</w:t>
      </w:r>
    </w:p>
    <w:p w14:paraId="50AE40EE">
      <w:pPr>
        <w:spacing w:line="560" w:lineRule="exact"/>
        <w:ind w:firstLine="538" w:firstLineChars="200"/>
        <w:jc w:val="both"/>
        <w:rPr>
          <w:rFonts w:ascii="Times New Roman" w:hAnsi="Times New Roman" w:eastAsia="仿宋" w:cs="Times New Roman"/>
          <w:color w:val="auto"/>
          <w:lang w:eastAsia="zh-CN"/>
        </w:rPr>
      </w:pPr>
      <w:r>
        <w:rPr>
          <w:rFonts w:ascii="Times New Roman" w:hAnsi="Times New Roman" w:eastAsia="仿宋" w:cs="Times New Roman"/>
          <w:b/>
          <w:bCs/>
          <w:color w:val="auto"/>
          <w:spacing w:val="-6"/>
          <w:sz w:val="28"/>
          <w:szCs w:val="28"/>
          <w:lang w:eastAsia="zh-CN"/>
        </w:rPr>
        <w:t>社会效益。促进经济发展增加就业。</w:t>
      </w:r>
      <w:r>
        <w:rPr>
          <w:rFonts w:ascii="Times New Roman" w:hAnsi="Times New Roman" w:eastAsia="仿宋" w:cs="Times New Roman"/>
          <w:color w:val="auto"/>
          <w:spacing w:val="-6"/>
          <w:sz w:val="28"/>
          <w:szCs w:val="28"/>
          <w:lang w:eastAsia="zh-CN"/>
        </w:rPr>
        <w:t>生态文明规划涉及</w:t>
      </w:r>
      <w:r>
        <w:rPr>
          <w:rFonts w:ascii="Times New Roman" w:hAnsi="Times New Roman" w:eastAsia="仿宋" w:cs="Times New Roman"/>
          <w:color w:val="auto"/>
          <w:spacing w:val="-6"/>
          <w:sz w:val="28"/>
          <w:szCs w:val="28"/>
          <w:lang w:eastAsia="zh"/>
        </w:rPr>
        <w:t>翁牛特旗</w:t>
      </w:r>
      <w:r>
        <w:rPr>
          <w:rFonts w:ascii="Times New Roman" w:hAnsi="Times New Roman" w:eastAsia="仿宋" w:cs="Times New Roman"/>
          <w:color w:val="auto"/>
          <w:spacing w:val="-6"/>
          <w:sz w:val="28"/>
          <w:szCs w:val="28"/>
          <w:lang w:eastAsia="zh-CN"/>
        </w:rPr>
        <w:t>全</w:t>
      </w:r>
      <w:r>
        <w:rPr>
          <w:rFonts w:ascii="Times New Roman" w:hAnsi="Times New Roman" w:eastAsia="仿宋" w:cs="Times New Roman"/>
          <w:color w:val="auto"/>
          <w:spacing w:val="-4"/>
          <w:sz w:val="28"/>
          <w:szCs w:val="28"/>
          <w:lang w:eastAsia="zh-CN"/>
        </w:rPr>
        <w:t>旗各领域软硬件体系建设，涉及工程、项目建设内容众多，相关建设</w:t>
      </w:r>
      <w:r>
        <w:rPr>
          <w:rFonts w:ascii="Times New Roman" w:hAnsi="Times New Roman" w:eastAsia="仿宋" w:cs="Times New Roman"/>
          <w:color w:val="auto"/>
          <w:spacing w:val="-11"/>
          <w:sz w:val="28"/>
          <w:szCs w:val="28"/>
          <w:lang w:eastAsia="zh-CN"/>
        </w:rPr>
        <w:t>投资总额近100亿元。项目建设将完善基础设施、带动全旗产业升级、</w:t>
      </w:r>
      <w:r>
        <w:rPr>
          <w:rFonts w:ascii="Times New Roman" w:hAnsi="Times New Roman" w:eastAsia="仿宋" w:cs="Times New Roman"/>
          <w:color w:val="auto"/>
          <w:spacing w:val="-1"/>
          <w:sz w:val="28"/>
          <w:szCs w:val="28"/>
          <w:lang w:eastAsia="zh-CN"/>
        </w:rPr>
        <w:t>提升全社会现代化建设水平。全旗民众在积极参与相关项目建设中，</w:t>
      </w:r>
      <w:r>
        <w:rPr>
          <w:rFonts w:ascii="Times New Roman" w:hAnsi="Times New Roman" w:eastAsia="仿宋" w:cs="Times New Roman"/>
          <w:color w:val="auto"/>
          <w:spacing w:val="-4"/>
          <w:sz w:val="28"/>
          <w:szCs w:val="28"/>
          <w:lang w:eastAsia="zh-CN"/>
        </w:rPr>
        <w:t>预计数万人将获得就业机会、提升生产劳动技能和水平。</w:t>
      </w:r>
      <w:r>
        <w:rPr>
          <w:rFonts w:ascii="Times New Roman" w:hAnsi="Times New Roman" w:eastAsia="仿宋" w:cs="Times New Roman"/>
          <w:b/>
          <w:bCs/>
          <w:color w:val="auto"/>
          <w:spacing w:val="-4"/>
          <w:sz w:val="28"/>
          <w:szCs w:val="28"/>
          <w:lang w:eastAsia="zh-CN"/>
        </w:rPr>
        <w:t>提升</w:t>
      </w:r>
      <w:r>
        <w:rPr>
          <w:rFonts w:ascii="Times New Roman" w:hAnsi="Times New Roman" w:eastAsia="仿宋" w:cs="Times New Roman"/>
          <w:b/>
          <w:bCs/>
          <w:color w:val="auto"/>
          <w:spacing w:val="-5"/>
          <w:sz w:val="28"/>
          <w:szCs w:val="28"/>
          <w:lang w:eastAsia="zh"/>
        </w:rPr>
        <w:t>翁牛特旗</w:t>
      </w:r>
      <w:r>
        <w:rPr>
          <w:rFonts w:ascii="Times New Roman" w:hAnsi="Times New Roman" w:eastAsia="仿宋" w:cs="Times New Roman"/>
          <w:b/>
          <w:bCs/>
          <w:color w:val="auto"/>
          <w:spacing w:val="-1"/>
          <w:sz w:val="28"/>
          <w:szCs w:val="28"/>
          <w:lang w:eastAsia="zh-CN"/>
        </w:rPr>
        <w:t>形象和美誉。</w:t>
      </w:r>
      <w:r>
        <w:rPr>
          <w:rFonts w:ascii="Times New Roman" w:hAnsi="Times New Roman" w:eastAsia="仿宋" w:cs="Times New Roman"/>
          <w:color w:val="auto"/>
          <w:spacing w:val="-1"/>
          <w:sz w:val="28"/>
          <w:szCs w:val="28"/>
          <w:lang w:eastAsia="zh"/>
        </w:rPr>
        <w:t>翁牛特旗</w:t>
      </w:r>
      <w:r>
        <w:rPr>
          <w:rFonts w:ascii="Times New Roman" w:hAnsi="Times New Roman" w:eastAsia="仿宋" w:cs="Times New Roman"/>
          <w:color w:val="auto"/>
          <w:spacing w:val="-1"/>
          <w:sz w:val="28"/>
          <w:szCs w:val="28"/>
          <w:lang w:eastAsia="zh-CN"/>
        </w:rPr>
        <w:t>具有深厚的历史底蕴、传承悠久生态保</w:t>
      </w:r>
      <w:r>
        <w:rPr>
          <w:rFonts w:ascii="Times New Roman" w:hAnsi="Times New Roman" w:eastAsia="仿宋" w:cs="Times New Roman"/>
          <w:color w:val="auto"/>
          <w:spacing w:val="-2"/>
          <w:sz w:val="28"/>
          <w:szCs w:val="28"/>
          <w:lang w:eastAsia="zh-CN"/>
        </w:rPr>
        <w:t>护文化，</w:t>
      </w:r>
      <w:r>
        <w:rPr>
          <w:rFonts w:ascii="Times New Roman" w:hAnsi="Times New Roman" w:eastAsia="仿宋" w:cs="Times New Roman"/>
          <w:color w:val="auto"/>
          <w:spacing w:val="-3"/>
          <w:sz w:val="28"/>
          <w:szCs w:val="28"/>
          <w:lang w:eastAsia="zh-CN"/>
        </w:rPr>
        <w:t>一代又一代</w:t>
      </w:r>
      <w:r>
        <w:rPr>
          <w:rFonts w:ascii="Times New Roman" w:hAnsi="Times New Roman" w:eastAsia="仿宋" w:cs="Times New Roman"/>
          <w:color w:val="auto"/>
          <w:spacing w:val="-3"/>
          <w:sz w:val="28"/>
          <w:szCs w:val="28"/>
          <w:lang w:eastAsia="zh"/>
        </w:rPr>
        <w:t>翁牛特旗</w:t>
      </w:r>
      <w:r>
        <w:rPr>
          <w:rFonts w:ascii="Times New Roman" w:hAnsi="Times New Roman" w:eastAsia="仿宋" w:cs="Times New Roman"/>
          <w:color w:val="auto"/>
          <w:spacing w:val="-3"/>
          <w:sz w:val="28"/>
          <w:szCs w:val="28"/>
          <w:lang w:eastAsia="zh-CN"/>
        </w:rPr>
        <w:t>人坚毅不屈的“绿色愚公”精神，是</w:t>
      </w:r>
      <w:r>
        <w:rPr>
          <w:rFonts w:ascii="Times New Roman" w:hAnsi="Times New Roman" w:eastAsia="仿宋" w:cs="Times New Roman"/>
          <w:color w:val="auto"/>
          <w:spacing w:val="-3"/>
          <w:sz w:val="28"/>
          <w:szCs w:val="28"/>
          <w:lang w:eastAsia="zh"/>
        </w:rPr>
        <w:t>翁牛特旗</w:t>
      </w:r>
      <w:r>
        <w:rPr>
          <w:rFonts w:ascii="Times New Roman" w:hAnsi="Times New Roman" w:eastAsia="仿宋" w:cs="Times New Roman"/>
          <w:color w:val="auto"/>
          <w:spacing w:val="-3"/>
          <w:sz w:val="28"/>
          <w:szCs w:val="28"/>
          <w:lang w:eastAsia="zh-CN"/>
        </w:rPr>
        <w:t>人强大的</w:t>
      </w:r>
      <w:r>
        <w:rPr>
          <w:rFonts w:ascii="Times New Roman" w:hAnsi="Times New Roman" w:eastAsia="仿宋" w:cs="Times New Roman"/>
          <w:color w:val="auto"/>
          <w:spacing w:val="-4"/>
          <w:sz w:val="28"/>
          <w:szCs w:val="28"/>
          <w:lang w:eastAsia="zh-CN"/>
        </w:rPr>
        <w:t>动力源泉。建设国家生态文明示范区，</w:t>
      </w:r>
      <w:r>
        <w:rPr>
          <w:rFonts w:ascii="Times New Roman" w:hAnsi="Times New Roman" w:eastAsia="仿宋" w:cs="Times New Roman"/>
          <w:color w:val="auto"/>
          <w:spacing w:val="-4"/>
          <w:sz w:val="28"/>
          <w:szCs w:val="28"/>
          <w:lang w:eastAsia="zh"/>
        </w:rPr>
        <w:t>翁牛特旗</w:t>
      </w:r>
      <w:r>
        <w:rPr>
          <w:rFonts w:ascii="Times New Roman" w:hAnsi="Times New Roman" w:eastAsia="仿宋" w:cs="Times New Roman"/>
          <w:color w:val="auto"/>
          <w:spacing w:val="-4"/>
          <w:sz w:val="28"/>
          <w:szCs w:val="28"/>
          <w:lang w:eastAsia="zh-CN"/>
        </w:rPr>
        <w:t>城市品位和形象得到大幅提升，投资环境的竞争力大大增强，知名度进一步提高，成为国内外资本争相投入的投资热土，为经济发展带来强劲的推动力。</w:t>
      </w:r>
      <w:r>
        <w:rPr>
          <w:rFonts w:ascii="Times New Roman" w:hAnsi="Times New Roman" w:eastAsia="仿宋" w:cs="Times New Roman"/>
          <w:b/>
          <w:bCs/>
          <w:color w:val="auto"/>
          <w:spacing w:val="-4"/>
          <w:sz w:val="28"/>
          <w:szCs w:val="28"/>
          <w:lang w:eastAsia="zh-CN"/>
        </w:rPr>
        <w:t>激发社会创造力凝聚力。</w:t>
      </w:r>
      <w:r>
        <w:rPr>
          <w:rFonts w:ascii="Times New Roman" w:hAnsi="Times New Roman" w:eastAsia="仿宋" w:cs="Times New Roman"/>
          <w:color w:val="auto"/>
          <w:spacing w:val="-4"/>
          <w:sz w:val="28"/>
          <w:szCs w:val="28"/>
          <w:lang w:eastAsia="zh-CN"/>
        </w:rPr>
        <w:t>通过生态文化理念宣传、教育和相关产业经济、社会体系建设，有利于不断提高城乡居民受教育程度，促进整个社会生态文明程度和人口素质的显著提高，有利于不断提高干部群众的生态环境意识，更好地保护生态环境质量，保障生态系统的健康持续发展。通过实施生态文明建设的一系列工程，激发了各类市场的主体活力，促进消费新业态不断发展，新型消费平台逐渐出现，与传统商业融合，推陈出新，培育消费新增长点，加快形成消费引领投资、激励创新、改善民生的良性循环机制。</w:t>
      </w:r>
      <w:r>
        <w:rPr>
          <w:rFonts w:ascii="Times New Roman" w:hAnsi="Times New Roman" w:eastAsia="仿宋" w:cs="Times New Roman"/>
          <w:color w:val="auto"/>
          <w:lang w:eastAsia="zh-CN"/>
        </w:rPr>
        <w:br w:type="page"/>
      </w:r>
    </w:p>
    <w:p w14:paraId="47FDC25A">
      <w:pPr>
        <w:pStyle w:val="2"/>
        <w:jc w:val="center"/>
        <w:rPr>
          <w:rFonts w:hint="default" w:ascii="Times New Roman" w:hAnsi="Times New Roman"/>
          <w:color w:val="auto"/>
        </w:rPr>
      </w:pPr>
      <w:bookmarkStart w:id="555" w:name="_Toc183187326"/>
      <w:r>
        <w:rPr>
          <w:rFonts w:hint="default" w:ascii="Times New Roman" w:hAnsi="Times New Roman"/>
          <w:color w:val="auto"/>
        </w:rPr>
        <w:t>第九章 保障措施</w:t>
      </w:r>
      <w:bookmarkEnd w:id="555"/>
    </w:p>
    <w:p w14:paraId="6D15D301">
      <w:pPr>
        <w:pStyle w:val="3"/>
        <w:rPr>
          <w:rFonts w:ascii="Times New Roman" w:hAnsi="Times New Roman" w:cs="Times New Roman"/>
          <w:color w:val="auto"/>
          <w:lang w:val="zh-CN" w:eastAsia="zh-CN"/>
        </w:rPr>
      </w:pPr>
      <w:bookmarkStart w:id="556" w:name="bookmark109"/>
      <w:bookmarkEnd w:id="556"/>
      <w:bookmarkStart w:id="557" w:name="_Toc183187327"/>
      <w:bookmarkStart w:id="558" w:name="_Toc157239739"/>
      <w:r>
        <w:rPr>
          <w:rFonts w:ascii="Times New Roman" w:hAnsi="Times New Roman" w:cs="Times New Roman"/>
          <w:color w:val="auto"/>
          <w:lang w:eastAsia="zh-CN"/>
        </w:rPr>
        <w:t>一、</w:t>
      </w:r>
      <w:r>
        <w:rPr>
          <w:rFonts w:ascii="Times New Roman" w:hAnsi="Times New Roman" w:cs="Times New Roman"/>
          <w:color w:val="auto"/>
          <w:lang w:val="zh-CN" w:eastAsia="zh-CN"/>
        </w:rPr>
        <w:t>组织领导</w:t>
      </w:r>
      <w:bookmarkEnd w:id="557"/>
      <w:bookmarkEnd w:id="558"/>
    </w:p>
    <w:p w14:paraId="794CC52C">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在翁牛特旗创建生态文明建设示范区工作领导小组的统筹下，各相关部门按照《翁牛特旗创建生态文明建设示范区工作方案》，对标生态文明建设示范区建设指标及示范区创建要求，在生态环境保护、自然资源管理、生态环境建设、大气污染综合治理、水污染综合整治、土壤污染综合防控、生态环境质量整体提升、人居环境改善等方面制定相关工作计划，并由各委办局、各镇街具体实施，详细部署工作目标和建设任务，指标和任务落实到责任单位和责任人，切实履行生态文明建设主体责任；定期召开工作协调会通报工作进展情况，加强各责任部门的协调沟通，健全机制、厘清责任，推动党委政府全面落实生态保护主体责任。</w:t>
      </w:r>
    </w:p>
    <w:p w14:paraId="113513E9">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有效配置公共管理资源，完善生活污染、饮水安全、农业面源污染等环境治理强化生态文明建设示范区创建的组织领导，构建环境综合整治工作的协调机制，实现“职责明确，权责统一，生态环境部门牵头，多部门齐抓共管”的目标。打破条块分割、部门分割的资源配置瓶颈，打通工作各部门间的联动机制。</w:t>
      </w:r>
    </w:p>
    <w:p w14:paraId="3C498CEA">
      <w:pPr>
        <w:pStyle w:val="3"/>
        <w:rPr>
          <w:rFonts w:ascii="Times New Roman" w:hAnsi="Times New Roman" w:cs="Times New Roman"/>
          <w:color w:val="auto"/>
          <w:lang w:val="zh-CN" w:eastAsia="zh-CN"/>
        </w:rPr>
      </w:pPr>
      <w:bookmarkStart w:id="559" w:name="_bookmark120"/>
      <w:bookmarkEnd w:id="559"/>
      <w:bookmarkStart w:id="560" w:name="_Toc157239740"/>
      <w:bookmarkStart w:id="561" w:name="_Toc183187328"/>
      <w:r>
        <w:rPr>
          <w:rFonts w:ascii="Times New Roman" w:hAnsi="Times New Roman" w:cs="Times New Roman"/>
          <w:color w:val="auto"/>
          <w:lang w:eastAsia="zh-CN"/>
        </w:rPr>
        <w:t>二</w:t>
      </w:r>
      <w:r>
        <w:rPr>
          <w:rFonts w:ascii="Times New Roman" w:hAnsi="Times New Roman" w:cs="Times New Roman"/>
          <w:color w:val="auto"/>
          <w:lang w:val="zh-CN" w:eastAsia="zh-CN"/>
        </w:rPr>
        <w:t>、监督考核</w:t>
      </w:r>
      <w:bookmarkEnd w:id="560"/>
      <w:bookmarkEnd w:id="561"/>
    </w:p>
    <w:p w14:paraId="6CAFBA7B">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加强监督考核，制定生态文明建设工作部门联席会议制度，加强部门联系沟通，鼓励部门间互相监督，督促解决生态文明建设过程中遇到的问题。建立完善生态文明建设示范区的目标责任制和激励约束机制，确保责任到位、措施到位、投入到位；将生态文明示范区建设工作纳入各级领导干部政绩考核的重要内容，提高生态文明建设工作占党政实绩考核的比例，避免重特大突发环境事件或生态破坏事件的发生；加大对创建工作开展常态化督促检查，对各项创建指标达标情况从严从实从细开展督查，推动各级部门切实把生态文明建设政治责任落实好；完善环保监督制度，加强公众监督，健全有奖举报制度，引导公众直接对生态环境部门及污染企业进行监督，确保群众举报投诉渠道畅通，对环境执法机构在环境监管中的不当行为、污染企业的违法违规行为进行质询，完善群众信访接待制度，及时解决群众关心的环境问题，自觉接受并保障新闻媒体的舆论监督，形成全方位的社会监督机制。</w:t>
      </w:r>
    </w:p>
    <w:p w14:paraId="2C91F9D8">
      <w:pPr>
        <w:pStyle w:val="3"/>
        <w:rPr>
          <w:rFonts w:ascii="Times New Roman" w:hAnsi="Times New Roman" w:cs="Times New Roman"/>
          <w:color w:val="auto"/>
          <w:lang w:val="zh-CN" w:eastAsia="zh-CN"/>
        </w:rPr>
      </w:pPr>
      <w:bookmarkStart w:id="562" w:name="_bookmark121"/>
      <w:bookmarkEnd w:id="562"/>
      <w:bookmarkStart w:id="563" w:name="_Toc157239741"/>
      <w:bookmarkStart w:id="564" w:name="_Toc183187329"/>
      <w:r>
        <w:rPr>
          <w:rFonts w:ascii="Times New Roman" w:hAnsi="Times New Roman" w:cs="Times New Roman"/>
          <w:color w:val="auto"/>
          <w:lang w:eastAsia="zh-CN"/>
        </w:rPr>
        <w:t>三、</w:t>
      </w:r>
      <w:r>
        <w:rPr>
          <w:rFonts w:ascii="Times New Roman" w:hAnsi="Times New Roman" w:cs="Times New Roman"/>
          <w:color w:val="auto"/>
          <w:lang w:val="zh-CN" w:eastAsia="zh-CN"/>
        </w:rPr>
        <w:t>资金统筹</w:t>
      </w:r>
      <w:bookmarkEnd w:id="563"/>
      <w:bookmarkEnd w:id="564"/>
    </w:p>
    <w:p w14:paraId="772AA25D">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强化对翁牛特旗生态文明建设基础设施建设运行的资金保障，逐步建立常态化、稳定的财政资金投入机制；发挥政府资源配置职能和引导作用，建立“政府引导、社会参与、市场运作”的多元化投融资体系；吸收社会力量参与，拓展资金来源渠道，鼓励社会资金转向生态文明建设领域；加大财政资金对生态文明建设工作支持力度，规定各级环保方面的预算应和当年的财政收入增加程度一致，加强对生态文明建设难点、重点领域的基础研究及基础调查工作经费支持；创新各类生态环保投融资方式，加大绿色金融支持，确保生态文明示范区建设项目的实施。</w:t>
      </w:r>
    </w:p>
    <w:p w14:paraId="39A3D441">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建立有效的资金使用和监管制度，严格落实专款专用、先审后拨和项目公开招投标制度；对资金的使用全过程加强监督，严格执行投资问效、追踪管理，提高资金的使用绩效。</w:t>
      </w:r>
    </w:p>
    <w:p w14:paraId="5D128EDD">
      <w:pPr>
        <w:pStyle w:val="3"/>
        <w:rPr>
          <w:rFonts w:ascii="Times New Roman" w:hAnsi="Times New Roman" w:cs="Times New Roman"/>
          <w:color w:val="auto"/>
          <w:lang w:val="zh-CN" w:eastAsia="zh-CN"/>
        </w:rPr>
      </w:pPr>
      <w:bookmarkStart w:id="565" w:name="_bookmark122"/>
      <w:bookmarkEnd w:id="565"/>
      <w:bookmarkStart w:id="566" w:name="_Toc157239742"/>
      <w:bookmarkStart w:id="567" w:name="_Toc183187330"/>
      <w:r>
        <w:rPr>
          <w:rFonts w:ascii="Times New Roman" w:hAnsi="Times New Roman" w:cs="Times New Roman"/>
          <w:color w:val="auto"/>
          <w:lang w:eastAsia="zh-CN"/>
        </w:rPr>
        <w:t>四、</w:t>
      </w:r>
      <w:r>
        <w:rPr>
          <w:rFonts w:ascii="Times New Roman" w:hAnsi="Times New Roman" w:cs="Times New Roman"/>
          <w:color w:val="auto"/>
          <w:lang w:val="zh-CN" w:eastAsia="zh-CN"/>
        </w:rPr>
        <w:t>科技创新</w:t>
      </w:r>
      <w:bookmarkEnd w:id="566"/>
      <w:bookmarkEnd w:id="567"/>
    </w:p>
    <w:p w14:paraId="2BFF988A">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加强科研创新能力建设，重点支持新能源、新材料等低碳产业技术研发，加大对企业技术改造的扶持力度，在信贷、税收、财政等方面对高新技术企业予以倾斜，鼓励企业加大自主研发力度，不断改进生产工艺；广泛吸纳国内外低碳产业发展和低碳城市建设方面的先进技术和成果，通过引进、消化吸收、再创新，不断提高低碳产业自主创新能力。</w:t>
      </w:r>
    </w:p>
    <w:p w14:paraId="078BC153">
      <w:pPr>
        <w:spacing w:line="560" w:lineRule="exact"/>
        <w:ind w:firstLine="559"/>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营造人才发展的良好环境，按照生态文明建设的需求，加强环保、生态经济等专业人才的引进和培养，为生态文明建设服务；对接“万人计划”等人才引进、培养工程，加快形成政府支持、社会参与的人才培养体系。</w:t>
      </w:r>
    </w:p>
    <w:p w14:paraId="178442CE">
      <w:pPr>
        <w:pStyle w:val="3"/>
        <w:rPr>
          <w:rFonts w:ascii="Times New Roman" w:hAnsi="Times New Roman" w:cs="Times New Roman"/>
          <w:color w:val="auto"/>
          <w:lang w:val="zh-CN" w:eastAsia="zh-CN"/>
        </w:rPr>
      </w:pPr>
      <w:bookmarkStart w:id="568" w:name="_bookmark123"/>
      <w:bookmarkEnd w:id="568"/>
      <w:bookmarkStart w:id="569" w:name="_Toc183187331"/>
      <w:bookmarkStart w:id="570" w:name="_Toc157239743"/>
      <w:r>
        <w:rPr>
          <w:rFonts w:ascii="Times New Roman" w:hAnsi="Times New Roman" w:cs="Times New Roman"/>
          <w:color w:val="auto"/>
          <w:lang w:val="zh-CN" w:eastAsia="zh-CN"/>
        </w:rPr>
        <w:t>五、社会参与</w:t>
      </w:r>
      <w:bookmarkEnd w:id="569"/>
      <w:bookmarkEnd w:id="570"/>
    </w:p>
    <w:p w14:paraId="48038E69">
      <w:pPr>
        <w:spacing w:line="560" w:lineRule="exact"/>
        <w:ind w:firstLine="561"/>
        <w:jc w:val="both"/>
        <w:rPr>
          <w:rFonts w:ascii="Times New Roman" w:hAnsi="Times New Roman" w:eastAsia="仿宋" w:cs="Times New Roman"/>
          <w:color w:val="auto"/>
          <w:spacing w:val="-3"/>
          <w:sz w:val="28"/>
          <w:szCs w:val="28"/>
          <w:lang w:val="zh-CN" w:eastAsia="zh-CN"/>
        </w:rPr>
      </w:pPr>
      <w:r>
        <w:rPr>
          <w:rFonts w:ascii="Times New Roman" w:hAnsi="Times New Roman" w:eastAsia="仿宋" w:cs="Times New Roman"/>
          <w:color w:val="auto"/>
          <w:spacing w:val="-3"/>
          <w:sz w:val="28"/>
          <w:szCs w:val="28"/>
          <w:lang w:val="zh-CN" w:eastAsia="zh-CN"/>
        </w:rPr>
        <w:t>加强翁牛特旗创建生态文明建设示范区宣传力度，营造全民参与生态文明建设的良好氛围；广泛动员全社会力量为生态文明建设献计出力，形成全旗联动、各部门协同配合、全社会广泛参与的工作机制。充分利用传统媒体和新媒体，分阶段、分重点、分层次开展创建生态文明建设示范区宣传活动，提高广大人民群众的环保理念，引导动员全社会积极参与；积极培育和扶持环保社会组织，引导其健康有序发展，结合国家、</w:t>
      </w:r>
      <w:r>
        <w:rPr>
          <w:rFonts w:ascii="Times New Roman" w:hAnsi="Times New Roman" w:eastAsia="仿宋" w:cs="Times New Roman"/>
          <w:color w:val="auto"/>
          <w:spacing w:val="-3"/>
          <w:sz w:val="28"/>
          <w:szCs w:val="28"/>
          <w:lang w:eastAsia="zh-CN"/>
        </w:rPr>
        <w:t>自治区</w:t>
      </w:r>
      <w:r>
        <w:rPr>
          <w:rFonts w:ascii="Times New Roman" w:hAnsi="Times New Roman" w:eastAsia="仿宋" w:cs="Times New Roman"/>
          <w:color w:val="auto"/>
          <w:spacing w:val="-3"/>
          <w:sz w:val="28"/>
          <w:szCs w:val="28"/>
          <w:lang w:val="zh-CN" w:eastAsia="zh-CN"/>
        </w:rPr>
        <w:t>、市的创建工作重点，着力抓好新闻报道，努力营造良好的生态文明建设工作氛围，最大程度的增强市民认同感和公众参与度，促进生态生活深入人心、生态文化彰显特色、生态经济协调发展、生态文明持续提高的格局稳步形成。</w:t>
      </w:r>
    </w:p>
    <w:p w14:paraId="46263ED7">
      <w:pPr>
        <w:spacing w:line="560" w:lineRule="exact"/>
        <w:ind w:firstLine="559"/>
        <w:jc w:val="both"/>
        <w:rPr>
          <w:rFonts w:ascii="Times New Roman" w:hAnsi="Times New Roman" w:eastAsia="仿宋" w:cs="Times New Roman"/>
          <w:color w:val="auto"/>
          <w:spacing w:val="-3"/>
          <w:sz w:val="28"/>
          <w:szCs w:val="28"/>
          <w:lang w:val="zh-CN" w:eastAsia="zh-CN"/>
        </w:rPr>
        <w:sectPr>
          <w:headerReference r:id="rId13" w:type="default"/>
          <w:pgSz w:w="11907" w:h="16839"/>
          <w:pgMar w:top="1440" w:right="1797" w:bottom="1440" w:left="1797" w:header="1020" w:footer="1020" w:gutter="0"/>
          <w:cols w:space="720" w:num="1"/>
          <w:docGrid w:linePitch="286" w:charSpace="0"/>
        </w:sectPr>
      </w:pPr>
    </w:p>
    <w:p w14:paraId="44459A58">
      <w:pPr>
        <w:pStyle w:val="2"/>
        <w:spacing w:after="120" w:afterLines="50"/>
        <w:jc w:val="left"/>
        <w:rPr>
          <w:rFonts w:hint="default" w:ascii="Times New Roman" w:hAnsi="Times New Roman" w:eastAsia="仿宋"/>
          <w:color w:val="auto"/>
          <w:sz w:val="28"/>
          <w:szCs w:val="28"/>
        </w:rPr>
      </w:pPr>
      <w:bookmarkStart w:id="571" w:name="bookmark120"/>
      <w:bookmarkEnd w:id="571"/>
      <w:bookmarkStart w:id="572" w:name="bookmark119"/>
      <w:bookmarkEnd w:id="572"/>
      <w:bookmarkStart w:id="573" w:name="bookmark121"/>
      <w:bookmarkEnd w:id="573"/>
      <w:bookmarkStart w:id="574" w:name="bookmark122"/>
      <w:bookmarkEnd w:id="574"/>
      <w:bookmarkStart w:id="575" w:name="_Toc183187332"/>
      <w:r>
        <w:rPr>
          <w:rFonts w:hint="default" w:ascii="Times New Roman" w:hAnsi="Times New Roman" w:eastAsia="仿宋"/>
          <w:color w:val="auto"/>
          <w:sz w:val="28"/>
          <w:szCs w:val="28"/>
        </w:rPr>
        <w:t>附表1 生态安全体系建设工程表</w:t>
      </w:r>
      <w:bookmarkEnd w:id="575"/>
    </w:p>
    <w:tbl>
      <w:tblPr>
        <w:tblStyle w:val="22"/>
        <w:tblW w:w="14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70"/>
        <w:gridCol w:w="5528"/>
        <w:gridCol w:w="1701"/>
        <w:gridCol w:w="1276"/>
        <w:gridCol w:w="1134"/>
        <w:gridCol w:w="1105"/>
        <w:gridCol w:w="1272"/>
      </w:tblGrid>
      <w:tr w14:paraId="216F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724" w:type="dxa"/>
            <w:shd w:val="clear" w:color="auto" w:fill="D9D9D9"/>
            <w:noWrap/>
            <w:vAlign w:val="center"/>
          </w:tcPr>
          <w:p w14:paraId="335D03FB">
            <w:pPr>
              <w:autoSpaceDE/>
              <w:autoSpaceDN/>
              <w:jc w:val="center"/>
              <w:rPr>
                <w:rFonts w:ascii="Times New Roman" w:hAnsi="Times New Roman" w:eastAsia="仿宋" w:cs="Times New Roman"/>
                <w:b/>
              </w:rPr>
            </w:pPr>
            <w:bookmarkStart w:id="576" w:name="_Hlk192670423"/>
            <w:r>
              <w:rPr>
                <w:rFonts w:ascii="Times New Roman" w:hAnsi="Times New Roman" w:eastAsia="仿宋" w:cs="Times New Roman"/>
                <w:b/>
              </w:rPr>
              <w:t>序号</w:t>
            </w:r>
          </w:p>
        </w:tc>
        <w:tc>
          <w:tcPr>
            <w:tcW w:w="1970" w:type="dxa"/>
            <w:shd w:val="clear" w:color="auto" w:fill="D9D9D9"/>
            <w:noWrap/>
            <w:vAlign w:val="center"/>
          </w:tcPr>
          <w:p w14:paraId="126E8137">
            <w:pPr>
              <w:autoSpaceDE/>
              <w:autoSpaceDN/>
              <w:jc w:val="center"/>
              <w:rPr>
                <w:rFonts w:ascii="Times New Roman" w:hAnsi="Times New Roman" w:eastAsia="仿宋" w:cs="Times New Roman"/>
                <w:b/>
              </w:rPr>
            </w:pPr>
            <w:r>
              <w:rPr>
                <w:rFonts w:ascii="Times New Roman" w:hAnsi="Times New Roman" w:eastAsia="仿宋" w:cs="Times New Roman"/>
                <w:b/>
              </w:rPr>
              <w:t>项目名称</w:t>
            </w:r>
          </w:p>
        </w:tc>
        <w:tc>
          <w:tcPr>
            <w:tcW w:w="5528" w:type="dxa"/>
            <w:shd w:val="clear" w:color="auto" w:fill="D9D9D9"/>
            <w:noWrap/>
            <w:vAlign w:val="center"/>
          </w:tcPr>
          <w:p w14:paraId="345FC3F8">
            <w:pPr>
              <w:autoSpaceDE/>
              <w:autoSpaceDN/>
              <w:jc w:val="center"/>
              <w:rPr>
                <w:rFonts w:ascii="Times New Roman" w:hAnsi="Times New Roman" w:eastAsia="仿宋" w:cs="Times New Roman"/>
                <w:b/>
              </w:rPr>
            </w:pPr>
            <w:r>
              <w:rPr>
                <w:rFonts w:ascii="Times New Roman" w:hAnsi="Times New Roman" w:eastAsia="仿宋" w:cs="Times New Roman"/>
                <w:b/>
              </w:rPr>
              <w:t>项目内容</w:t>
            </w:r>
          </w:p>
        </w:tc>
        <w:tc>
          <w:tcPr>
            <w:tcW w:w="1701" w:type="dxa"/>
            <w:shd w:val="clear" w:color="auto" w:fill="D9D9D9"/>
            <w:noWrap/>
            <w:vAlign w:val="center"/>
          </w:tcPr>
          <w:p w14:paraId="58EDC248">
            <w:pPr>
              <w:autoSpaceDE/>
              <w:autoSpaceDN/>
              <w:jc w:val="center"/>
              <w:rPr>
                <w:rFonts w:ascii="Times New Roman" w:hAnsi="Times New Roman" w:eastAsia="仿宋" w:cs="Times New Roman"/>
                <w:b/>
              </w:rPr>
            </w:pPr>
            <w:r>
              <w:rPr>
                <w:rFonts w:ascii="Times New Roman" w:hAnsi="Times New Roman" w:eastAsia="仿宋" w:cs="Times New Roman"/>
                <w:b/>
              </w:rPr>
              <w:t>实施地点</w:t>
            </w:r>
          </w:p>
        </w:tc>
        <w:tc>
          <w:tcPr>
            <w:tcW w:w="1276" w:type="dxa"/>
            <w:shd w:val="clear" w:color="auto" w:fill="D9D9D9"/>
            <w:noWrap/>
            <w:vAlign w:val="center"/>
          </w:tcPr>
          <w:p w14:paraId="34431F0C">
            <w:pPr>
              <w:autoSpaceDE/>
              <w:autoSpaceDN/>
              <w:jc w:val="center"/>
              <w:rPr>
                <w:rFonts w:ascii="Times New Roman" w:hAnsi="Times New Roman" w:eastAsia="仿宋" w:cs="Times New Roman"/>
                <w:b/>
              </w:rPr>
            </w:pPr>
            <w:r>
              <w:rPr>
                <w:rFonts w:ascii="Times New Roman" w:hAnsi="Times New Roman" w:eastAsia="仿宋" w:cs="Times New Roman"/>
                <w:b/>
              </w:rPr>
              <w:t>实施年限</w:t>
            </w:r>
          </w:p>
        </w:tc>
        <w:tc>
          <w:tcPr>
            <w:tcW w:w="1134" w:type="dxa"/>
            <w:shd w:val="clear" w:color="auto" w:fill="D9D9D9"/>
            <w:noWrap/>
            <w:vAlign w:val="center"/>
          </w:tcPr>
          <w:p w14:paraId="0E0ACF80">
            <w:pPr>
              <w:autoSpaceDE/>
              <w:autoSpaceDN/>
              <w:jc w:val="center"/>
              <w:rPr>
                <w:rFonts w:ascii="Times New Roman" w:hAnsi="Times New Roman" w:eastAsia="仿宋" w:cs="Times New Roman"/>
                <w:b/>
              </w:rPr>
            </w:pPr>
            <w:r>
              <w:rPr>
                <w:rFonts w:ascii="Times New Roman" w:hAnsi="Times New Roman" w:eastAsia="仿宋" w:cs="Times New Roman"/>
                <w:b/>
              </w:rPr>
              <w:t>投资概算</w:t>
            </w:r>
          </w:p>
          <w:p w14:paraId="4FC7278F">
            <w:pPr>
              <w:autoSpaceDE/>
              <w:autoSpaceDN/>
              <w:jc w:val="center"/>
              <w:rPr>
                <w:rFonts w:ascii="Times New Roman" w:hAnsi="Times New Roman" w:eastAsia="仿宋" w:cs="Times New Roman"/>
                <w:b/>
              </w:rPr>
            </w:pPr>
            <w:r>
              <w:rPr>
                <w:rFonts w:ascii="Times New Roman" w:hAnsi="Times New Roman" w:eastAsia="仿宋" w:cs="Times New Roman"/>
                <w:b/>
              </w:rPr>
              <w:t>（亿元）</w:t>
            </w:r>
          </w:p>
        </w:tc>
        <w:tc>
          <w:tcPr>
            <w:tcW w:w="1105" w:type="dxa"/>
            <w:shd w:val="clear" w:color="auto" w:fill="D9D9D9"/>
            <w:vAlign w:val="center"/>
          </w:tcPr>
          <w:p w14:paraId="26456C6C">
            <w:pPr>
              <w:autoSpaceDE/>
              <w:autoSpaceDN/>
              <w:jc w:val="center"/>
              <w:rPr>
                <w:rFonts w:ascii="Times New Roman" w:hAnsi="Times New Roman" w:eastAsia="仿宋" w:cs="Times New Roman"/>
                <w:b/>
              </w:rPr>
            </w:pPr>
            <w:r>
              <w:rPr>
                <w:rFonts w:ascii="Times New Roman" w:hAnsi="Times New Roman" w:eastAsia="仿宋" w:cs="Times New Roman"/>
                <w:b/>
              </w:rPr>
              <w:t>项目进展</w:t>
            </w:r>
          </w:p>
        </w:tc>
        <w:tc>
          <w:tcPr>
            <w:tcW w:w="1272" w:type="dxa"/>
            <w:shd w:val="clear" w:color="auto" w:fill="D9D9D9"/>
            <w:noWrap/>
            <w:vAlign w:val="center"/>
          </w:tcPr>
          <w:p w14:paraId="505D2C0C">
            <w:pPr>
              <w:autoSpaceDE/>
              <w:autoSpaceDN/>
              <w:jc w:val="center"/>
              <w:rPr>
                <w:rFonts w:ascii="Times New Roman" w:hAnsi="Times New Roman" w:eastAsia="仿宋" w:cs="Times New Roman"/>
                <w:b/>
              </w:rPr>
            </w:pPr>
            <w:r>
              <w:rPr>
                <w:rFonts w:ascii="Times New Roman" w:hAnsi="Times New Roman" w:eastAsia="仿宋" w:cs="Times New Roman"/>
                <w:b/>
              </w:rPr>
              <w:t>责任单位</w:t>
            </w:r>
          </w:p>
        </w:tc>
      </w:tr>
      <w:tr w14:paraId="2CD0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724" w:type="dxa"/>
            <w:noWrap/>
            <w:vAlign w:val="center"/>
          </w:tcPr>
          <w:p w14:paraId="24E77022">
            <w:pPr>
              <w:autoSpaceDE/>
              <w:autoSpaceDN/>
              <w:jc w:val="center"/>
              <w:rPr>
                <w:rFonts w:ascii="Times New Roman" w:hAnsi="Times New Roman" w:eastAsia="仿宋" w:cs="Times New Roman"/>
                <w:color w:val="auto"/>
                <w:lang w:eastAsia="zh-CN"/>
              </w:rPr>
            </w:pPr>
            <w:bookmarkStart w:id="577" w:name="_Hlk176941247"/>
            <w:r>
              <w:rPr>
                <w:rFonts w:hint="eastAsia" w:ascii="Times New Roman" w:hAnsi="Times New Roman" w:eastAsia="仿宋" w:cs="Times New Roman"/>
                <w:color w:val="auto"/>
                <w:lang w:eastAsia="zh-CN"/>
              </w:rPr>
              <w:t>1</w:t>
            </w:r>
          </w:p>
        </w:tc>
        <w:tc>
          <w:tcPr>
            <w:tcW w:w="1970" w:type="dxa"/>
            <w:noWrap/>
            <w:vAlign w:val="center"/>
          </w:tcPr>
          <w:p w14:paraId="23275DBA">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内蒙古东部草原沙地综合治理项目</w:t>
            </w:r>
          </w:p>
          <w:p w14:paraId="5DC57E13">
            <w:pPr>
              <w:autoSpaceDE/>
              <w:autoSpaceDN/>
              <w:rPr>
                <w:rFonts w:ascii="Times New Roman" w:hAnsi="Times New Roman" w:eastAsia="仿宋" w:cs="Times New Roman"/>
                <w:color w:val="auto"/>
                <w:lang w:eastAsia="zh-CN"/>
              </w:rPr>
            </w:pPr>
            <w:r>
              <w:rPr>
                <w:rFonts w:hint="eastAsia" w:ascii="Times New Roman" w:hAnsi="Times New Roman" w:eastAsia="仿宋" w:cs="Times New Roman"/>
                <w:color w:val="auto"/>
                <w:lang w:eastAsia="zh-CN"/>
              </w:rPr>
              <w:t>（2022）</w:t>
            </w:r>
          </w:p>
        </w:tc>
        <w:tc>
          <w:tcPr>
            <w:tcW w:w="5528" w:type="dxa"/>
            <w:noWrap/>
            <w:vAlign w:val="center"/>
          </w:tcPr>
          <w:p w14:paraId="7C8281CE">
            <w:pPr>
              <w:autoSpaceDE/>
              <w:autoSpaceDN/>
              <w:jc w:val="both"/>
              <w:rPr>
                <w:rFonts w:ascii="Times New Roman" w:hAnsi="Times New Roman" w:eastAsia="仿宋" w:cs="Times New Roman"/>
                <w:color w:val="auto"/>
                <w:lang w:eastAsia="zh-CN"/>
              </w:rPr>
            </w:pPr>
            <w:r>
              <w:rPr>
                <w:rFonts w:ascii="Times New Roman" w:hAnsi="Times New Roman" w:eastAsia="仿宋" w:cs="Times New Roman"/>
                <w:color w:val="auto"/>
                <w:lang w:eastAsia="zh-CN"/>
              </w:rPr>
              <w:t>草原围栏22.98万米、人工种草1.3万亩、草原改良0.4万亩、工程固沙9.7115万亩、水源工程5处、节水灌溉8处、谷坊13处、人工造乔木林0.9986万亩、灌木林9.39万亩、封山育林1.05万亩、退化林修复2.2197万亩。</w:t>
            </w:r>
          </w:p>
        </w:tc>
        <w:tc>
          <w:tcPr>
            <w:tcW w:w="1701" w:type="dxa"/>
            <w:noWrap/>
            <w:vAlign w:val="center"/>
          </w:tcPr>
          <w:p w14:paraId="35BAB30C">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翁牛特旗</w:t>
            </w:r>
          </w:p>
        </w:tc>
        <w:tc>
          <w:tcPr>
            <w:tcW w:w="1276" w:type="dxa"/>
            <w:noWrap/>
            <w:vAlign w:val="center"/>
          </w:tcPr>
          <w:p w14:paraId="5673ACE6">
            <w:pPr>
              <w:jc w:val="center"/>
              <w:rPr>
                <w:rFonts w:ascii="Times New Roman" w:hAnsi="Times New Roman" w:eastAsia="仿宋" w:cs="Times New Roman"/>
                <w:color w:val="auto"/>
              </w:rPr>
            </w:pPr>
            <w:r>
              <w:rPr>
                <w:rFonts w:hint="eastAsia" w:ascii="Times New Roman" w:hAnsi="Times New Roman" w:eastAsia="仿宋" w:cs="Times New Roman"/>
                <w:color w:val="auto"/>
                <w:lang w:eastAsia="zh-CN"/>
              </w:rPr>
              <w:t>2023</w:t>
            </w:r>
          </w:p>
        </w:tc>
        <w:tc>
          <w:tcPr>
            <w:tcW w:w="1134" w:type="dxa"/>
            <w:noWrap/>
            <w:vAlign w:val="center"/>
          </w:tcPr>
          <w:p w14:paraId="2EBCCFB8">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1.200</w:t>
            </w:r>
          </w:p>
        </w:tc>
        <w:tc>
          <w:tcPr>
            <w:tcW w:w="1105" w:type="dxa"/>
            <w:vAlign w:val="center"/>
          </w:tcPr>
          <w:p w14:paraId="1C79895B">
            <w:pPr>
              <w:jc w:val="center"/>
              <w:rPr>
                <w:rFonts w:ascii="Times New Roman" w:hAnsi="Times New Roman" w:eastAsia="仿宋" w:cs="Times New Roman"/>
                <w:color w:val="auto"/>
              </w:rPr>
            </w:pPr>
            <w:r>
              <w:rPr>
                <w:rFonts w:ascii="Times New Roman" w:hAnsi="Times New Roman" w:eastAsia="仿宋" w:cs="Times New Roman"/>
                <w:color w:val="auto"/>
              </w:rPr>
              <w:t>实施</w:t>
            </w:r>
            <w:r>
              <w:rPr>
                <w:rFonts w:hint="eastAsia" w:ascii="Times New Roman" w:hAnsi="Times New Roman" w:eastAsia="仿宋" w:cs="Times New Roman"/>
                <w:color w:val="auto"/>
                <w:lang w:eastAsia="zh-CN"/>
              </w:rPr>
              <w:t>完成</w:t>
            </w:r>
          </w:p>
        </w:tc>
        <w:tc>
          <w:tcPr>
            <w:tcW w:w="1272" w:type="dxa"/>
            <w:noWrap/>
            <w:vAlign w:val="center"/>
          </w:tcPr>
          <w:p w14:paraId="7D9734C8">
            <w:pPr>
              <w:rPr>
                <w:rFonts w:ascii="Times New Roman" w:hAnsi="Times New Roman" w:eastAsia="仿宋" w:cs="Times New Roman"/>
                <w:lang w:eastAsia="zh-CN"/>
              </w:rPr>
            </w:pPr>
            <w:r>
              <w:rPr>
                <w:rFonts w:ascii="Times New Roman" w:hAnsi="Times New Roman" w:eastAsia="仿宋" w:cs="Times New Roman"/>
                <w:lang w:eastAsia="zh-CN"/>
              </w:rPr>
              <w:t>翁牛特旗林业和草原局</w:t>
            </w:r>
          </w:p>
        </w:tc>
      </w:tr>
      <w:tr w14:paraId="4D5A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724" w:type="dxa"/>
            <w:noWrap/>
            <w:vAlign w:val="center"/>
          </w:tcPr>
          <w:p w14:paraId="63B5B5AB">
            <w:pPr>
              <w:autoSpaceDE/>
              <w:autoSpaceDN/>
              <w:jc w:val="center"/>
              <w:rPr>
                <w:rFonts w:ascii="Times New Roman" w:hAnsi="Times New Roman" w:eastAsia="仿宋" w:cs="Times New Roman"/>
                <w:color w:val="auto"/>
                <w:lang w:eastAsia="zh-CN"/>
              </w:rPr>
            </w:pPr>
            <w:r>
              <w:rPr>
                <w:rFonts w:hint="eastAsia" w:ascii="Times New Roman" w:hAnsi="Times New Roman" w:eastAsia="仿宋" w:cs="Times New Roman"/>
                <w:color w:val="auto"/>
                <w:lang w:eastAsia="zh-CN"/>
              </w:rPr>
              <w:t>2</w:t>
            </w:r>
          </w:p>
        </w:tc>
        <w:tc>
          <w:tcPr>
            <w:tcW w:w="1970" w:type="dxa"/>
            <w:noWrap/>
            <w:vAlign w:val="center"/>
          </w:tcPr>
          <w:p w14:paraId="10CDCCC0">
            <w:pPr>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内蒙古东部草原沙地综合治理项目</w:t>
            </w:r>
          </w:p>
          <w:p w14:paraId="4D07417A">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（2023）</w:t>
            </w:r>
          </w:p>
        </w:tc>
        <w:tc>
          <w:tcPr>
            <w:tcW w:w="5528" w:type="dxa"/>
            <w:noWrap/>
            <w:vAlign w:val="center"/>
          </w:tcPr>
          <w:p w14:paraId="2A67D5CA">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退化草原修复：人工种草1.24万亩、围栏封育7.63万米、草原改良0.4万亩；荒漠化治理工程：工程固沙10.5万亩、水源工程4处、节水灌溉7处、谷坊22处；天然林保护与营造林：人工造乔木林1.128万亩、人工造灌木林9.27万亩、退化林修复1.81101万亩、封山育林1.016万亩。</w:t>
            </w:r>
          </w:p>
        </w:tc>
        <w:tc>
          <w:tcPr>
            <w:tcW w:w="1701" w:type="dxa"/>
            <w:noWrap/>
            <w:vAlign w:val="center"/>
          </w:tcPr>
          <w:p w14:paraId="6C817282">
            <w:pPr>
              <w:jc w:val="center"/>
              <w:rPr>
                <w:rFonts w:ascii="Times New Roman" w:hAnsi="Times New Roman" w:eastAsia="仿宋" w:cs="Times New Roman"/>
                <w:color w:val="auto"/>
              </w:rPr>
            </w:pPr>
            <w:r>
              <w:rPr>
                <w:rFonts w:ascii="Times New Roman" w:hAnsi="Times New Roman" w:eastAsia="仿宋" w:cs="Times New Roman"/>
                <w:color w:val="auto"/>
              </w:rPr>
              <w:t>翁牛特旗</w:t>
            </w:r>
          </w:p>
        </w:tc>
        <w:tc>
          <w:tcPr>
            <w:tcW w:w="1276" w:type="dxa"/>
            <w:noWrap/>
            <w:vAlign w:val="center"/>
          </w:tcPr>
          <w:p w14:paraId="3D12D40C">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2024</w:t>
            </w:r>
          </w:p>
        </w:tc>
        <w:tc>
          <w:tcPr>
            <w:tcW w:w="1134" w:type="dxa"/>
            <w:noWrap/>
            <w:vAlign w:val="center"/>
          </w:tcPr>
          <w:p w14:paraId="165D9CB7">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1.200</w:t>
            </w:r>
          </w:p>
        </w:tc>
        <w:tc>
          <w:tcPr>
            <w:tcW w:w="1105" w:type="dxa"/>
            <w:vAlign w:val="center"/>
          </w:tcPr>
          <w:p w14:paraId="2051CF7B">
            <w:pPr>
              <w:jc w:val="center"/>
              <w:rPr>
                <w:rFonts w:ascii="Times New Roman" w:hAnsi="Times New Roman" w:eastAsia="仿宋" w:cs="Times New Roman"/>
                <w:color w:val="auto"/>
              </w:rPr>
            </w:pPr>
            <w:r>
              <w:rPr>
                <w:rFonts w:ascii="Times New Roman" w:hAnsi="Times New Roman" w:eastAsia="仿宋" w:cs="Times New Roman"/>
                <w:color w:val="auto"/>
              </w:rPr>
              <w:t>实施</w:t>
            </w:r>
            <w:r>
              <w:rPr>
                <w:rFonts w:hint="eastAsia" w:ascii="Times New Roman" w:hAnsi="Times New Roman" w:eastAsia="仿宋" w:cs="Times New Roman"/>
                <w:color w:val="auto"/>
                <w:lang w:eastAsia="zh-CN"/>
              </w:rPr>
              <w:t>完成</w:t>
            </w:r>
          </w:p>
        </w:tc>
        <w:tc>
          <w:tcPr>
            <w:tcW w:w="1272" w:type="dxa"/>
            <w:noWrap/>
            <w:vAlign w:val="center"/>
          </w:tcPr>
          <w:p w14:paraId="7D916198">
            <w:pPr>
              <w:rPr>
                <w:rFonts w:ascii="Times New Roman" w:hAnsi="Times New Roman" w:eastAsia="仿宋" w:cs="Times New Roman"/>
                <w:lang w:eastAsia="zh-CN"/>
              </w:rPr>
            </w:pPr>
            <w:r>
              <w:rPr>
                <w:rFonts w:ascii="Times New Roman" w:hAnsi="Times New Roman" w:eastAsia="仿宋" w:cs="Times New Roman"/>
                <w:lang w:eastAsia="zh-CN"/>
              </w:rPr>
              <w:t>翁牛特旗林业和草原局</w:t>
            </w:r>
          </w:p>
        </w:tc>
      </w:tr>
      <w:tr w14:paraId="1BB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24" w:type="dxa"/>
            <w:noWrap/>
            <w:vAlign w:val="center"/>
          </w:tcPr>
          <w:p w14:paraId="110F58EB">
            <w:pPr>
              <w:autoSpaceDE/>
              <w:autoSpaceDN/>
              <w:jc w:val="center"/>
              <w:rPr>
                <w:rFonts w:ascii="Times New Roman" w:hAnsi="Times New Roman" w:eastAsia="仿宋" w:cs="Times New Roman"/>
                <w:color w:val="auto"/>
                <w:lang w:eastAsia="zh-CN"/>
              </w:rPr>
            </w:pPr>
            <w:r>
              <w:rPr>
                <w:rFonts w:hint="eastAsia" w:ascii="Times New Roman" w:hAnsi="Times New Roman" w:eastAsia="仿宋" w:cs="Times New Roman"/>
                <w:color w:val="auto"/>
                <w:lang w:eastAsia="zh-CN"/>
              </w:rPr>
              <w:t>3</w:t>
            </w:r>
          </w:p>
        </w:tc>
        <w:tc>
          <w:tcPr>
            <w:tcW w:w="1970" w:type="dxa"/>
            <w:noWrap/>
            <w:vAlign w:val="center"/>
          </w:tcPr>
          <w:p w14:paraId="14D2EF10">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内蒙古自治区</w:t>
            </w:r>
            <w:r>
              <w:rPr>
                <w:rFonts w:hint="eastAsia" w:ascii="Times New Roman" w:hAnsi="Times New Roman" w:eastAsia="仿宋" w:cs="Times New Roman"/>
                <w:color w:val="auto"/>
                <w:lang w:eastAsia="zh-CN"/>
              </w:rPr>
              <w:t>赤峰市</w:t>
            </w:r>
            <w:r>
              <w:rPr>
                <w:rFonts w:ascii="Times New Roman" w:hAnsi="Times New Roman" w:eastAsia="仿宋" w:cs="Times New Roman"/>
                <w:color w:val="auto"/>
                <w:lang w:eastAsia="zh-CN"/>
              </w:rPr>
              <w:t>中部科尔沁沙地综合治理项目</w:t>
            </w:r>
          </w:p>
        </w:tc>
        <w:tc>
          <w:tcPr>
            <w:tcW w:w="5528" w:type="dxa"/>
            <w:noWrap/>
            <w:vAlign w:val="center"/>
          </w:tcPr>
          <w:p w14:paraId="7B29FB6C">
            <w:pPr>
              <w:rPr>
                <w:rFonts w:ascii="Times New Roman" w:hAnsi="Times New Roman" w:eastAsia="仿宋" w:cs="Times New Roman"/>
                <w:color w:val="auto"/>
                <w:lang w:eastAsia="zh-CN"/>
              </w:rPr>
            </w:pPr>
            <w:r>
              <w:rPr>
                <w:rFonts w:ascii="Times New Roman" w:hAnsi="Times New Roman" w:eastAsia="仿宋" w:cs="Times New Roman"/>
                <w:color w:val="auto"/>
                <w:lang w:eastAsia="zh-CN"/>
              </w:rPr>
              <w:t>人工造林乔木林5800亩、人工造林灌木林15万亩、封山（沙）育林3000亩、退化林修复1.635万亩、人工种草6万亩、围栏封育12万亩、草原改良1万亩、工程固沙16.3万亩、水源工程20处、节水灌溉20处、谷坊504处。</w:t>
            </w:r>
          </w:p>
        </w:tc>
        <w:tc>
          <w:tcPr>
            <w:tcW w:w="1701" w:type="dxa"/>
            <w:noWrap/>
            <w:vAlign w:val="center"/>
          </w:tcPr>
          <w:p w14:paraId="149F4A6F">
            <w:pPr>
              <w:jc w:val="center"/>
              <w:rPr>
                <w:rFonts w:ascii="Times New Roman" w:hAnsi="Times New Roman" w:eastAsia="仿宋" w:cs="Times New Roman"/>
                <w:color w:val="auto"/>
              </w:rPr>
            </w:pPr>
            <w:r>
              <w:rPr>
                <w:rFonts w:ascii="Times New Roman" w:hAnsi="Times New Roman" w:eastAsia="仿宋" w:cs="Times New Roman"/>
                <w:color w:val="auto"/>
              </w:rPr>
              <w:t>翁牛特旗</w:t>
            </w:r>
          </w:p>
        </w:tc>
        <w:tc>
          <w:tcPr>
            <w:tcW w:w="1276" w:type="dxa"/>
            <w:noWrap/>
            <w:vAlign w:val="center"/>
          </w:tcPr>
          <w:p w14:paraId="3DF742E4">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2024-2026</w:t>
            </w:r>
          </w:p>
        </w:tc>
        <w:tc>
          <w:tcPr>
            <w:tcW w:w="1134" w:type="dxa"/>
            <w:noWrap/>
            <w:vAlign w:val="center"/>
          </w:tcPr>
          <w:p w14:paraId="51CDF201">
            <w:pPr>
              <w:autoSpaceDE/>
              <w:autoSpaceDN/>
              <w:jc w:val="center"/>
              <w:rPr>
                <w:rFonts w:ascii="Times New Roman" w:hAnsi="Times New Roman" w:eastAsia="仿宋" w:cs="Times New Roman"/>
                <w:color w:val="auto"/>
                <w:lang w:eastAsia="zh-CN"/>
              </w:rPr>
            </w:pPr>
            <w:r>
              <w:rPr>
                <w:rFonts w:hint="eastAsia" w:ascii="Times New Roman" w:hAnsi="Times New Roman" w:eastAsia="仿宋" w:cs="Times New Roman"/>
                <w:color w:val="auto"/>
                <w:lang w:eastAsia="zh-CN"/>
              </w:rPr>
              <w:t>4.930</w:t>
            </w:r>
          </w:p>
        </w:tc>
        <w:tc>
          <w:tcPr>
            <w:tcW w:w="1105" w:type="dxa"/>
            <w:vAlign w:val="center"/>
          </w:tcPr>
          <w:p w14:paraId="64C9EDA6">
            <w:pPr>
              <w:jc w:val="center"/>
              <w:rPr>
                <w:rFonts w:ascii="Times New Roman" w:hAnsi="Times New Roman" w:eastAsia="仿宋" w:cs="Times New Roman"/>
                <w:color w:val="auto"/>
              </w:rPr>
            </w:pPr>
            <w:r>
              <w:rPr>
                <w:rFonts w:ascii="Times New Roman" w:hAnsi="Times New Roman" w:eastAsia="仿宋" w:cs="Times New Roman"/>
                <w:color w:val="auto"/>
              </w:rPr>
              <w:t>计划实施</w:t>
            </w:r>
          </w:p>
        </w:tc>
        <w:tc>
          <w:tcPr>
            <w:tcW w:w="1272" w:type="dxa"/>
            <w:noWrap/>
            <w:vAlign w:val="center"/>
          </w:tcPr>
          <w:p w14:paraId="31AED89D">
            <w:pPr>
              <w:rPr>
                <w:rFonts w:ascii="Times New Roman" w:hAnsi="Times New Roman" w:eastAsia="仿宋" w:cs="Times New Roman"/>
                <w:lang w:eastAsia="zh-CN"/>
              </w:rPr>
            </w:pPr>
            <w:r>
              <w:rPr>
                <w:rFonts w:ascii="Times New Roman" w:hAnsi="Times New Roman" w:eastAsia="仿宋" w:cs="Times New Roman"/>
                <w:lang w:eastAsia="zh-CN"/>
              </w:rPr>
              <w:t>翁牛特旗林业和草原局</w:t>
            </w:r>
          </w:p>
        </w:tc>
      </w:tr>
      <w:tr w14:paraId="1582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24" w:type="dxa"/>
            <w:noWrap/>
            <w:vAlign w:val="center"/>
          </w:tcPr>
          <w:p w14:paraId="67966024">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4</w:t>
            </w:r>
          </w:p>
        </w:tc>
        <w:tc>
          <w:tcPr>
            <w:tcW w:w="1970" w:type="dxa"/>
            <w:noWrap/>
            <w:vAlign w:val="center"/>
          </w:tcPr>
          <w:p w14:paraId="0EF33BC5">
            <w:pPr>
              <w:rPr>
                <w:rFonts w:ascii="Times New Roman" w:hAnsi="Times New Roman" w:eastAsia="仿宋" w:cs="Times New Roman"/>
                <w:lang w:eastAsia="zh-CN"/>
              </w:rPr>
            </w:pPr>
            <w:r>
              <w:rPr>
                <w:rFonts w:ascii="Times New Roman" w:hAnsi="Times New Roman" w:eastAsia="仿宋" w:cs="Times New Roman"/>
                <w:lang w:eastAsia="zh-CN"/>
              </w:rPr>
              <w:t>翁牛特旗乡镇污水处理及管网设施建设工程</w:t>
            </w:r>
          </w:p>
        </w:tc>
        <w:tc>
          <w:tcPr>
            <w:tcW w:w="5528" w:type="dxa"/>
            <w:noWrap/>
            <w:vAlign w:val="center"/>
          </w:tcPr>
          <w:p w14:paraId="24489D41">
            <w:pPr>
              <w:rPr>
                <w:rFonts w:ascii="Times New Roman" w:hAnsi="Times New Roman" w:eastAsia="仿宋" w:cs="Times New Roman"/>
                <w:lang w:eastAsia="zh-CN"/>
              </w:rPr>
            </w:pPr>
            <w:r>
              <w:rPr>
                <w:rFonts w:ascii="Times New Roman" w:hAnsi="Times New Roman" w:eastAsia="仿宋" w:cs="Times New Roman"/>
                <w:lang w:eastAsia="zh-CN"/>
              </w:rPr>
              <w:t>拟在</w:t>
            </w:r>
            <w:bookmarkStart w:id="578" w:name="OLE_LINK347"/>
            <w:bookmarkStart w:id="579" w:name="OLE_LINK348"/>
            <w:r>
              <w:rPr>
                <w:rFonts w:ascii="Times New Roman" w:hAnsi="Times New Roman" w:eastAsia="仿宋" w:cs="Times New Roman"/>
                <w:lang w:eastAsia="zh-CN"/>
              </w:rPr>
              <w:t>五分地镇、亿合公乡、海拉苏镇、梧桐花镇、白音套海苏木</w:t>
            </w:r>
            <w:bookmarkEnd w:id="578"/>
            <w:bookmarkEnd w:id="579"/>
            <w:r>
              <w:rPr>
                <w:rFonts w:ascii="Times New Roman" w:hAnsi="Times New Roman" w:eastAsia="仿宋" w:cs="Times New Roman"/>
                <w:lang w:eastAsia="zh-CN"/>
              </w:rPr>
              <w:t>镇区建设污水处理设施及配套管网</w:t>
            </w:r>
          </w:p>
        </w:tc>
        <w:tc>
          <w:tcPr>
            <w:tcW w:w="1701" w:type="dxa"/>
            <w:noWrap/>
            <w:vAlign w:val="center"/>
          </w:tcPr>
          <w:p w14:paraId="10C5924B">
            <w:pPr>
              <w:rPr>
                <w:rFonts w:ascii="Times New Roman" w:hAnsi="Times New Roman" w:eastAsia="仿宋" w:cs="Times New Roman"/>
                <w:lang w:eastAsia="zh-CN"/>
              </w:rPr>
            </w:pPr>
            <w:r>
              <w:rPr>
                <w:rFonts w:ascii="Times New Roman" w:hAnsi="Times New Roman" w:eastAsia="仿宋" w:cs="Times New Roman"/>
                <w:lang w:eastAsia="zh-CN"/>
              </w:rPr>
              <w:t>五分地镇、亿合公乡、海拉苏镇、梧桐花镇、白音套海苏木</w:t>
            </w:r>
          </w:p>
        </w:tc>
        <w:tc>
          <w:tcPr>
            <w:tcW w:w="1276" w:type="dxa"/>
            <w:noWrap/>
            <w:vAlign w:val="center"/>
          </w:tcPr>
          <w:p w14:paraId="068A0C42">
            <w:pPr>
              <w:autoSpaceDE/>
              <w:autoSpaceDN/>
              <w:jc w:val="center"/>
              <w:rPr>
                <w:rFonts w:ascii="Times New Roman" w:hAnsi="Times New Roman" w:eastAsia="仿宋" w:cs="Times New Roman"/>
              </w:rPr>
            </w:pPr>
            <w:r>
              <w:rPr>
                <w:rFonts w:ascii="Times New Roman" w:hAnsi="Times New Roman" w:eastAsia="仿宋" w:cs="Times New Roman"/>
              </w:rPr>
              <w:t>2025-2030</w:t>
            </w:r>
          </w:p>
        </w:tc>
        <w:tc>
          <w:tcPr>
            <w:tcW w:w="1134" w:type="dxa"/>
            <w:noWrap/>
            <w:vAlign w:val="center"/>
          </w:tcPr>
          <w:p w14:paraId="7904FE9D">
            <w:pPr>
              <w:autoSpaceDE/>
              <w:autoSpaceDN/>
              <w:jc w:val="center"/>
              <w:rPr>
                <w:rFonts w:ascii="Times New Roman" w:hAnsi="Times New Roman" w:eastAsia="仿宋" w:cs="Times New Roman"/>
              </w:rPr>
            </w:pPr>
            <w:r>
              <w:rPr>
                <w:rFonts w:ascii="Times New Roman" w:hAnsi="Times New Roman" w:eastAsia="仿宋" w:cs="Times New Roman"/>
              </w:rPr>
              <w:t>0.320</w:t>
            </w:r>
          </w:p>
        </w:tc>
        <w:tc>
          <w:tcPr>
            <w:tcW w:w="1105" w:type="dxa"/>
            <w:vAlign w:val="center"/>
          </w:tcPr>
          <w:p w14:paraId="4FA8C78B">
            <w:pPr>
              <w:jc w:val="center"/>
              <w:rPr>
                <w:rFonts w:ascii="Times New Roman" w:hAnsi="Times New Roman" w:eastAsia="仿宋" w:cs="Times New Roman"/>
              </w:rPr>
            </w:pPr>
            <w:r>
              <w:rPr>
                <w:rFonts w:ascii="Times New Roman" w:hAnsi="Times New Roman" w:eastAsia="仿宋" w:cs="Times New Roman"/>
              </w:rPr>
              <w:t>计划实施</w:t>
            </w:r>
          </w:p>
        </w:tc>
        <w:tc>
          <w:tcPr>
            <w:tcW w:w="1272" w:type="dxa"/>
            <w:noWrap/>
            <w:vAlign w:val="center"/>
          </w:tcPr>
          <w:p w14:paraId="18FBF8BD">
            <w:pPr>
              <w:rPr>
                <w:rFonts w:ascii="Times New Roman" w:hAnsi="Times New Roman" w:eastAsia="仿宋" w:cs="Times New Roman"/>
                <w:lang w:eastAsia="zh-CN"/>
              </w:rPr>
            </w:pPr>
            <w:r>
              <w:rPr>
                <w:rFonts w:ascii="Times New Roman" w:hAnsi="Times New Roman" w:eastAsia="仿宋" w:cs="Times New Roman"/>
                <w:lang w:eastAsia="zh-CN"/>
              </w:rPr>
              <w:t>翁牛特旗住房和城乡建设局、赤峰市生态环境局翁牛特旗分局</w:t>
            </w:r>
          </w:p>
        </w:tc>
      </w:tr>
      <w:tr w14:paraId="151E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24" w:type="dxa"/>
            <w:noWrap/>
            <w:vAlign w:val="center"/>
          </w:tcPr>
          <w:p w14:paraId="3DB68046">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5</w:t>
            </w:r>
          </w:p>
        </w:tc>
        <w:tc>
          <w:tcPr>
            <w:tcW w:w="1970" w:type="dxa"/>
            <w:noWrap/>
            <w:vAlign w:val="center"/>
          </w:tcPr>
          <w:p w14:paraId="1D63C8A9">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翁牛特旗海拉苏镇抗旱应急水源续建配套工程项目</w:t>
            </w:r>
          </w:p>
        </w:tc>
        <w:tc>
          <w:tcPr>
            <w:tcW w:w="5528" w:type="dxa"/>
            <w:noWrap/>
            <w:vAlign w:val="center"/>
          </w:tcPr>
          <w:p w14:paraId="1815BCF6">
            <w:pPr>
              <w:autoSpaceDE/>
              <w:autoSpaceDN/>
              <w:rPr>
                <w:rFonts w:ascii="Times New Roman" w:hAnsi="Times New Roman" w:eastAsia="仿宋" w:cs="Times New Roman"/>
                <w:lang w:eastAsia="zh-CN"/>
              </w:rPr>
            </w:pPr>
            <w:r>
              <w:rPr>
                <w:rFonts w:ascii="Times New Roman" w:hAnsi="Times New Roman" w:eastAsia="仿宋" w:cs="Times New Roman"/>
                <w:lang w:eastAsia="zh-CN"/>
              </w:rPr>
              <w:t>引水渠道护砌及围封14.342千米，库区道路硬化2880米，新建管理房2处、节制分水闸3座，农桥1座，启闭机房1处，无线监控设备5套。</w:t>
            </w:r>
          </w:p>
        </w:tc>
        <w:tc>
          <w:tcPr>
            <w:tcW w:w="1701" w:type="dxa"/>
            <w:noWrap/>
            <w:vAlign w:val="center"/>
          </w:tcPr>
          <w:p w14:paraId="14FEDA60">
            <w:pPr>
              <w:autoSpaceDE/>
              <w:autoSpaceDN/>
              <w:rPr>
                <w:rFonts w:ascii="Times New Roman" w:hAnsi="Times New Roman" w:eastAsia="仿宋" w:cs="Times New Roman"/>
              </w:rPr>
            </w:pPr>
            <w:r>
              <w:rPr>
                <w:rFonts w:ascii="Times New Roman" w:hAnsi="Times New Roman" w:eastAsia="仿宋" w:cs="Times New Roman"/>
              </w:rPr>
              <w:t>翁牛特旗海拉苏镇</w:t>
            </w:r>
          </w:p>
        </w:tc>
        <w:tc>
          <w:tcPr>
            <w:tcW w:w="1276" w:type="dxa"/>
            <w:noWrap/>
            <w:vAlign w:val="center"/>
          </w:tcPr>
          <w:p w14:paraId="100C4069">
            <w:pPr>
              <w:autoSpaceDE/>
              <w:autoSpaceDN/>
              <w:jc w:val="center"/>
              <w:rPr>
                <w:rFonts w:ascii="Times New Roman" w:hAnsi="Times New Roman" w:eastAsia="仿宋" w:cs="Times New Roman"/>
              </w:rPr>
            </w:pPr>
            <w:r>
              <w:rPr>
                <w:rFonts w:ascii="Times New Roman" w:hAnsi="Times New Roman" w:eastAsia="仿宋" w:cs="Times New Roman"/>
              </w:rPr>
              <w:t>2023-2025</w:t>
            </w:r>
          </w:p>
        </w:tc>
        <w:tc>
          <w:tcPr>
            <w:tcW w:w="1134" w:type="dxa"/>
            <w:noWrap/>
            <w:vAlign w:val="center"/>
          </w:tcPr>
          <w:p w14:paraId="410FC413">
            <w:pPr>
              <w:autoSpaceDE/>
              <w:autoSpaceDN/>
              <w:jc w:val="center"/>
              <w:rPr>
                <w:rFonts w:ascii="Times New Roman" w:hAnsi="Times New Roman" w:eastAsia="仿宋" w:cs="Times New Roman"/>
              </w:rPr>
            </w:pPr>
            <w:r>
              <w:rPr>
                <w:rFonts w:ascii="Times New Roman" w:hAnsi="Times New Roman" w:eastAsia="仿宋" w:cs="Times New Roman"/>
              </w:rPr>
              <w:t>0.700</w:t>
            </w:r>
          </w:p>
        </w:tc>
        <w:tc>
          <w:tcPr>
            <w:tcW w:w="1105" w:type="dxa"/>
            <w:vAlign w:val="center"/>
          </w:tcPr>
          <w:p w14:paraId="14E1F521">
            <w:pPr>
              <w:autoSpaceDE/>
              <w:autoSpaceDN/>
              <w:jc w:val="center"/>
              <w:rPr>
                <w:rFonts w:ascii="Times New Roman" w:hAnsi="Times New Roman" w:eastAsia="仿宋" w:cs="Times New Roman"/>
              </w:rPr>
            </w:pPr>
            <w:bookmarkStart w:id="580" w:name="OLE_LINK330"/>
            <w:bookmarkStart w:id="581" w:name="OLE_LINK345"/>
            <w:r>
              <w:rPr>
                <w:rFonts w:ascii="Times New Roman" w:hAnsi="Times New Roman" w:eastAsia="仿宋" w:cs="Times New Roman"/>
              </w:rPr>
              <w:t>正在实施</w:t>
            </w:r>
            <w:bookmarkEnd w:id="580"/>
            <w:bookmarkEnd w:id="581"/>
          </w:p>
        </w:tc>
        <w:tc>
          <w:tcPr>
            <w:tcW w:w="1272" w:type="dxa"/>
            <w:noWrap/>
            <w:vAlign w:val="center"/>
          </w:tcPr>
          <w:p w14:paraId="3B85BFDE">
            <w:pPr>
              <w:autoSpaceDE/>
              <w:autoSpaceDN/>
              <w:jc w:val="center"/>
              <w:rPr>
                <w:rFonts w:ascii="Times New Roman" w:hAnsi="Times New Roman" w:eastAsia="仿宋" w:cs="Times New Roman"/>
              </w:rPr>
            </w:pPr>
            <w:r>
              <w:rPr>
                <w:rFonts w:ascii="Times New Roman" w:hAnsi="Times New Roman" w:eastAsia="仿宋" w:cs="Times New Roman"/>
              </w:rPr>
              <w:t>翁牛特旗水利局</w:t>
            </w:r>
          </w:p>
        </w:tc>
      </w:tr>
      <w:tr w14:paraId="7ABF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724" w:type="dxa"/>
            <w:noWrap/>
            <w:vAlign w:val="center"/>
          </w:tcPr>
          <w:p w14:paraId="4AB1543E">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6</w:t>
            </w:r>
          </w:p>
        </w:tc>
        <w:tc>
          <w:tcPr>
            <w:tcW w:w="1970" w:type="dxa"/>
            <w:noWrap/>
            <w:vAlign w:val="center"/>
          </w:tcPr>
          <w:p w14:paraId="0FF9A8AA">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翁牛特旗11座水闸除险加固项目</w:t>
            </w:r>
          </w:p>
        </w:tc>
        <w:tc>
          <w:tcPr>
            <w:tcW w:w="5528" w:type="dxa"/>
            <w:noWrap/>
            <w:vAlign w:val="center"/>
          </w:tcPr>
          <w:p w14:paraId="77C848F0">
            <w:pPr>
              <w:autoSpaceDE/>
              <w:autoSpaceDN/>
              <w:rPr>
                <w:rFonts w:ascii="Times New Roman" w:hAnsi="Times New Roman" w:eastAsia="仿宋" w:cs="Times New Roman"/>
                <w:lang w:eastAsia="zh-CN"/>
              </w:rPr>
            </w:pPr>
            <w:r>
              <w:rPr>
                <w:rFonts w:ascii="Times New Roman" w:hAnsi="Times New Roman" w:eastAsia="仿宋" w:cs="Times New Roman"/>
                <w:lang w:eastAsia="zh-CN"/>
              </w:rPr>
              <w:t>白音汉水利枢纽、白音套海水闸、高日罕水闸、黑鱼泡子水闸、灯笼水闸、五家水闸、龙头山水闸、泡子水闸、黄家店水闸、大兴胜利水闸、大兴一号水闸。</w:t>
            </w:r>
          </w:p>
        </w:tc>
        <w:tc>
          <w:tcPr>
            <w:tcW w:w="1701" w:type="dxa"/>
            <w:noWrap/>
            <w:vAlign w:val="center"/>
          </w:tcPr>
          <w:p w14:paraId="59A30E74">
            <w:pPr>
              <w:autoSpaceDE/>
              <w:autoSpaceDN/>
              <w:rPr>
                <w:rFonts w:ascii="Times New Roman" w:hAnsi="Times New Roman" w:eastAsia="仿宋" w:cs="Times New Roman"/>
              </w:rPr>
            </w:pPr>
            <w:r>
              <w:rPr>
                <w:rFonts w:ascii="Times New Roman" w:hAnsi="Times New Roman" w:eastAsia="仿宋" w:cs="Times New Roman"/>
              </w:rPr>
              <w:t>翁牛特旗</w:t>
            </w:r>
          </w:p>
        </w:tc>
        <w:tc>
          <w:tcPr>
            <w:tcW w:w="1276" w:type="dxa"/>
            <w:noWrap/>
            <w:vAlign w:val="center"/>
          </w:tcPr>
          <w:p w14:paraId="5F6E6E4D">
            <w:pPr>
              <w:autoSpaceDE/>
              <w:autoSpaceDN/>
              <w:jc w:val="center"/>
              <w:rPr>
                <w:rFonts w:ascii="Times New Roman" w:hAnsi="Times New Roman" w:eastAsia="仿宋" w:cs="Times New Roman"/>
              </w:rPr>
            </w:pPr>
            <w:r>
              <w:rPr>
                <w:rFonts w:ascii="Times New Roman" w:hAnsi="Times New Roman" w:eastAsia="仿宋" w:cs="Times New Roman"/>
              </w:rPr>
              <w:t>2025</w:t>
            </w:r>
          </w:p>
        </w:tc>
        <w:tc>
          <w:tcPr>
            <w:tcW w:w="1134" w:type="dxa"/>
            <w:noWrap/>
            <w:vAlign w:val="center"/>
          </w:tcPr>
          <w:p w14:paraId="2A8A6AF9">
            <w:pPr>
              <w:autoSpaceDE/>
              <w:autoSpaceDN/>
              <w:jc w:val="center"/>
              <w:rPr>
                <w:rFonts w:ascii="Times New Roman" w:hAnsi="Times New Roman" w:eastAsia="仿宋" w:cs="Times New Roman"/>
              </w:rPr>
            </w:pPr>
            <w:r>
              <w:rPr>
                <w:rFonts w:ascii="Times New Roman" w:hAnsi="Times New Roman" w:eastAsia="仿宋" w:cs="Times New Roman"/>
              </w:rPr>
              <w:t>2.900</w:t>
            </w:r>
          </w:p>
        </w:tc>
        <w:tc>
          <w:tcPr>
            <w:tcW w:w="1105" w:type="dxa"/>
            <w:vAlign w:val="center"/>
          </w:tcPr>
          <w:p w14:paraId="1B36949F">
            <w:pPr>
              <w:autoSpaceDE/>
              <w:autoSpaceDN/>
              <w:jc w:val="center"/>
              <w:rPr>
                <w:rFonts w:ascii="Times New Roman" w:hAnsi="Times New Roman" w:eastAsia="仿宋" w:cs="Times New Roman"/>
              </w:rPr>
            </w:pPr>
            <w:r>
              <w:rPr>
                <w:rFonts w:ascii="Times New Roman" w:hAnsi="Times New Roman" w:eastAsia="仿宋" w:cs="Times New Roman"/>
              </w:rPr>
              <w:t>计划实施</w:t>
            </w:r>
          </w:p>
        </w:tc>
        <w:tc>
          <w:tcPr>
            <w:tcW w:w="1272" w:type="dxa"/>
            <w:noWrap/>
            <w:vAlign w:val="center"/>
          </w:tcPr>
          <w:p w14:paraId="17F05A27">
            <w:pPr>
              <w:autoSpaceDE/>
              <w:autoSpaceDN/>
              <w:jc w:val="center"/>
              <w:rPr>
                <w:rFonts w:ascii="Times New Roman" w:hAnsi="Times New Roman" w:eastAsia="仿宋" w:cs="Times New Roman"/>
              </w:rPr>
            </w:pPr>
            <w:r>
              <w:rPr>
                <w:rFonts w:ascii="Times New Roman" w:hAnsi="Times New Roman" w:eastAsia="仿宋" w:cs="Times New Roman"/>
              </w:rPr>
              <w:t>翁牛特旗水利局</w:t>
            </w:r>
          </w:p>
        </w:tc>
      </w:tr>
      <w:bookmarkEnd w:id="577"/>
      <w:tr w14:paraId="168B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24" w:type="dxa"/>
            <w:noWrap/>
            <w:vAlign w:val="center"/>
          </w:tcPr>
          <w:p w14:paraId="154AF903">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7</w:t>
            </w:r>
          </w:p>
        </w:tc>
        <w:tc>
          <w:tcPr>
            <w:tcW w:w="1970" w:type="dxa"/>
            <w:noWrap/>
            <w:vAlign w:val="center"/>
          </w:tcPr>
          <w:p w14:paraId="783FB424">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翁牛特旗3座水库清淤项目</w:t>
            </w:r>
          </w:p>
        </w:tc>
        <w:tc>
          <w:tcPr>
            <w:tcW w:w="5528" w:type="dxa"/>
            <w:noWrap/>
            <w:vAlign w:val="center"/>
          </w:tcPr>
          <w:p w14:paraId="3EEEB0EE">
            <w:pPr>
              <w:autoSpaceDE/>
              <w:autoSpaceDN/>
              <w:rPr>
                <w:rFonts w:ascii="Times New Roman" w:hAnsi="Times New Roman" w:eastAsia="仿宋" w:cs="Times New Roman"/>
                <w:lang w:eastAsia="zh-CN"/>
              </w:rPr>
            </w:pPr>
            <w:r>
              <w:rPr>
                <w:rFonts w:ascii="Times New Roman" w:hAnsi="Times New Roman" w:eastAsia="仿宋" w:cs="Times New Roman"/>
                <w:lang w:eastAsia="zh-CN"/>
              </w:rPr>
              <w:t>小响水水库库区清淤、玉瀑水库库区清淤、木叶山书库库区清淤。</w:t>
            </w:r>
          </w:p>
        </w:tc>
        <w:tc>
          <w:tcPr>
            <w:tcW w:w="1701" w:type="dxa"/>
            <w:noWrap/>
            <w:vAlign w:val="center"/>
          </w:tcPr>
          <w:p w14:paraId="66066B02">
            <w:pPr>
              <w:autoSpaceDE/>
              <w:autoSpaceDN/>
              <w:rPr>
                <w:rFonts w:ascii="Times New Roman" w:hAnsi="Times New Roman" w:eastAsia="仿宋" w:cs="Times New Roman"/>
              </w:rPr>
            </w:pPr>
            <w:r>
              <w:rPr>
                <w:rFonts w:ascii="Times New Roman" w:hAnsi="Times New Roman" w:eastAsia="仿宋" w:cs="Times New Roman"/>
              </w:rPr>
              <w:t>翁牛特旗</w:t>
            </w:r>
          </w:p>
        </w:tc>
        <w:tc>
          <w:tcPr>
            <w:tcW w:w="1276" w:type="dxa"/>
            <w:noWrap/>
            <w:vAlign w:val="center"/>
          </w:tcPr>
          <w:p w14:paraId="1F440FAF">
            <w:pPr>
              <w:autoSpaceDE/>
              <w:autoSpaceDN/>
              <w:jc w:val="center"/>
              <w:rPr>
                <w:rFonts w:ascii="Times New Roman" w:hAnsi="Times New Roman" w:eastAsia="仿宋" w:cs="Times New Roman"/>
              </w:rPr>
            </w:pPr>
            <w:r>
              <w:rPr>
                <w:rFonts w:ascii="Times New Roman" w:hAnsi="Times New Roman" w:eastAsia="仿宋" w:cs="Times New Roman"/>
              </w:rPr>
              <w:t>2024-2025</w:t>
            </w:r>
          </w:p>
        </w:tc>
        <w:tc>
          <w:tcPr>
            <w:tcW w:w="1134" w:type="dxa"/>
            <w:noWrap/>
            <w:vAlign w:val="center"/>
          </w:tcPr>
          <w:p w14:paraId="111A6BE4">
            <w:pPr>
              <w:autoSpaceDE/>
              <w:autoSpaceDN/>
              <w:jc w:val="center"/>
              <w:rPr>
                <w:rFonts w:ascii="Times New Roman" w:hAnsi="Times New Roman" w:eastAsia="仿宋" w:cs="Times New Roman"/>
              </w:rPr>
            </w:pPr>
            <w:r>
              <w:rPr>
                <w:rFonts w:ascii="Times New Roman" w:hAnsi="Times New Roman" w:eastAsia="仿宋" w:cs="Times New Roman"/>
              </w:rPr>
              <w:t>0.875</w:t>
            </w:r>
          </w:p>
        </w:tc>
        <w:tc>
          <w:tcPr>
            <w:tcW w:w="1105" w:type="dxa"/>
            <w:vAlign w:val="center"/>
          </w:tcPr>
          <w:p w14:paraId="3DA9CFF6">
            <w:pPr>
              <w:autoSpaceDE/>
              <w:autoSpaceDN/>
              <w:jc w:val="center"/>
              <w:rPr>
                <w:rFonts w:ascii="Times New Roman" w:hAnsi="Times New Roman" w:eastAsia="仿宋" w:cs="Times New Roman"/>
              </w:rPr>
            </w:pPr>
            <w:bookmarkStart w:id="582" w:name="OLE_LINK344"/>
            <w:bookmarkStart w:id="583" w:name="OLE_LINK343"/>
            <w:r>
              <w:rPr>
                <w:rFonts w:ascii="Times New Roman" w:hAnsi="Times New Roman" w:eastAsia="仿宋" w:cs="Times New Roman"/>
              </w:rPr>
              <w:t>计划实施</w:t>
            </w:r>
            <w:bookmarkEnd w:id="582"/>
            <w:bookmarkEnd w:id="583"/>
          </w:p>
        </w:tc>
        <w:tc>
          <w:tcPr>
            <w:tcW w:w="1272" w:type="dxa"/>
            <w:noWrap/>
            <w:vAlign w:val="center"/>
          </w:tcPr>
          <w:p w14:paraId="369BEACE">
            <w:pPr>
              <w:autoSpaceDE/>
              <w:autoSpaceDN/>
              <w:jc w:val="center"/>
              <w:rPr>
                <w:rFonts w:ascii="Times New Roman" w:hAnsi="Times New Roman" w:eastAsia="仿宋" w:cs="Times New Roman"/>
              </w:rPr>
            </w:pPr>
            <w:r>
              <w:rPr>
                <w:rFonts w:ascii="Times New Roman" w:hAnsi="Times New Roman" w:eastAsia="仿宋" w:cs="Times New Roman"/>
              </w:rPr>
              <w:t>翁牛特旗水利局</w:t>
            </w:r>
          </w:p>
        </w:tc>
      </w:tr>
      <w:tr w14:paraId="2CED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24" w:type="dxa"/>
            <w:noWrap/>
            <w:vAlign w:val="center"/>
          </w:tcPr>
          <w:p w14:paraId="0AE6E09E">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8</w:t>
            </w:r>
          </w:p>
        </w:tc>
        <w:tc>
          <w:tcPr>
            <w:tcW w:w="1970" w:type="dxa"/>
            <w:noWrap/>
            <w:vAlign w:val="center"/>
          </w:tcPr>
          <w:p w14:paraId="5643B842">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翁牛特旗饮水安全供水保障工程项目</w:t>
            </w:r>
          </w:p>
        </w:tc>
        <w:tc>
          <w:tcPr>
            <w:tcW w:w="5528" w:type="dxa"/>
            <w:noWrap/>
            <w:vAlign w:val="center"/>
          </w:tcPr>
          <w:p w14:paraId="7F0091EA">
            <w:pPr>
              <w:autoSpaceDE/>
              <w:autoSpaceDN/>
              <w:rPr>
                <w:rFonts w:ascii="Times New Roman" w:hAnsi="Times New Roman" w:eastAsia="仿宋" w:cs="Times New Roman"/>
                <w:lang w:eastAsia="zh-CN"/>
              </w:rPr>
            </w:pPr>
            <w:r>
              <w:rPr>
                <w:rFonts w:ascii="Times New Roman" w:hAnsi="Times New Roman" w:eastAsia="仿宋" w:cs="Times New Roman"/>
                <w:lang w:eastAsia="zh-CN"/>
              </w:rPr>
              <w:t>桥头镇、五分地镇、海拉苏镇、梧桐花镇、广德公镇五个水厂供水保障工程。</w:t>
            </w:r>
          </w:p>
        </w:tc>
        <w:tc>
          <w:tcPr>
            <w:tcW w:w="1701" w:type="dxa"/>
            <w:noWrap/>
            <w:vAlign w:val="center"/>
          </w:tcPr>
          <w:p w14:paraId="53EACB52">
            <w:pPr>
              <w:autoSpaceDE/>
              <w:autoSpaceDN/>
              <w:rPr>
                <w:rFonts w:ascii="Times New Roman" w:hAnsi="Times New Roman" w:eastAsia="仿宋" w:cs="Times New Roman"/>
                <w:lang w:eastAsia="zh-CN"/>
              </w:rPr>
            </w:pPr>
            <w:r>
              <w:rPr>
                <w:rFonts w:ascii="Times New Roman" w:hAnsi="Times New Roman" w:eastAsia="仿宋" w:cs="Times New Roman"/>
                <w:lang w:eastAsia="zh-CN"/>
              </w:rPr>
              <w:t>桥头镇、五分地镇、海拉苏镇、梧桐花镇、广德公镇</w:t>
            </w:r>
          </w:p>
        </w:tc>
        <w:tc>
          <w:tcPr>
            <w:tcW w:w="1276" w:type="dxa"/>
            <w:noWrap/>
            <w:vAlign w:val="center"/>
          </w:tcPr>
          <w:p w14:paraId="7186F8CE">
            <w:pPr>
              <w:autoSpaceDE/>
              <w:autoSpaceDN/>
              <w:rPr>
                <w:rFonts w:ascii="Times New Roman" w:hAnsi="Times New Roman" w:eastAsia="仿宋" w:cs="Times New Roman"/>
              </w:rPr>
            </w:pPr>
            <w:r>
              <w:rPr>
                <w:rFonts w:ascii="Times New Roman" w:hAnsi="Times New Roman" w:eastAsia="仿宋" w:cs="Times New Roman"/>
              </w:rPr>
              <w:t>2024-2025</w:t>
            </w:r>
          </w:p>
        </w:tc>
        <w:tc>
          <w:tcPr>
            <w:tcW w:w="1134" w:type="dxa"/>
            <w:noWrap/>
            <w:vAlign w:val="center"/>
          </w:tcPr>
          <w:p w14:paraId="6203E5E1">
            <w:pPr>
              <w:autoSpaceDE/>
              <w:autoSpaceDN/>
              <w:jc w:val="center"/>
              <w:rPr>
                <w:rFonts w:ascii="Times New Roman" w:hAnsi="Times New Roman" w:eastAsia="仿宋" w:cs="Times New Roman"/>
              </w:rPr>
            </w:pPr>
            <w:r>
              <w:rPr>
                <w:rFonts w:ascii="Times New Roman" w:hAnsi="Times New Roman" w:eastAsia="仿宋" w:cs="Times New Roman"/>
              </w:rPr>
              <w:t>1.000</w:t>
            </w:r>
          </w:p>
        </w:tc>
        <w:tc>
          <w:tcPr>
            <w:tcW w:w="1105" w:type="dxa"/>
            <w:vAlign w:val="center"/>
          </w:tcPr>
          <w:p w14:paraId="4A96CA12">
            <w:pPr>
              <w:autoSpaceDE/>
              <w:autoSpaceDN/>
              <w:jc w:val="center"/>
              <w:rPr>
                <w:rFonts w:ascii="Times New Roman" w:hAnsi="Times New Roman" w:eastAsia="仿宋" w:cs="Times New Roman"/>
              </w:rPr>
            </w:pPr>
            <w:r>
              <w:rPr>
                <w:rFonts w:ascii="Times New Roman" w:hAnsi="Times New Roman" w:eastAsia="仿宋" w:cs="Times New Roman"/>
              </w:rPr>
              <w:t>计划实施</w:t>
            </w:r>
          </w:p>
        </w:tc>
        <w:tc>
          <w:tcPr>
            <w:tcW w:w="1272" w:type="dxa"/>
            <w:noWrap/>
            <w:vAlign w:val="center"/>
          </w:tcPr>
          <w:p w14:paraId="15D2EC82">
            <w:pPr>
              <w:autoSpaceDE/>
              <w:autoSpaceDN/>
              <w:jc w:val="center"/>
              <w:rPr>
                <w:rFonts w:ascii="Times New Roman" w:hAnsi="Times New Roman" w:eastAsia="仿宋" w:cs="Times New Roman"/>
              </w:rPr>
            </w:pPr>
            <w:r>
              <w:rPr>
                <w:rFonts w:ascii="Times New Roman" w:hAnsi="Times New Roman" w:eastAsia="仿宋" w:cs="Times New Roman"/>
              </w:rPr>
              <w:t>翁牛特旗</w:t>
            </w:r>
          </w:p>
          <w:p w14:paraId="57C7F424">
            <w:pPr>
              <w:autoSpaceDE/>
              <w:autoSpaceDN/>
              <w:jc w:val="center"/>
              <w:rPr>
                <w:rFonts w:ascii="Times New Roman" w:hAnsi="Times New Roman" w:eastAsia="仿宋" w:cs="Times New Roman"/>
              </w:rPr>
            </w:pPr>
            <w:r>
              <w:rPr>
                <w:rFonts w:ascii="Times New Roman" w:hAnsi="Times New Roman" w:eastAsia="仿宋" w:cs="Times New Roman"/>
              </w:rPr>
              <w:t>水利局</w:t>
            </w:r>
          </w:p>
        </w:tc>
      </w:tr>
      <w:tr w14:paraId="7391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724" w:type="dxa"/>
            <w:noWrap/>
            <w:vAlign w:val="center"/>
          </w:tcPr>
          <w:p w14:paraId="4106D66D">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9</w:t>
            </w:r>
          </w:p>
        </w:tc>
        <w:tc>
          <w:tcPr>
            <w:tcW w:w="1970" w:type="dxa"/>
            <w:noWrap/>
            <w:vAlign w:val="center"/>
          </w:tcPr>
          <w:p w14:paraId="3E5CEAAA">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翁牛特旗农村牧区厕所改造项目</w:t>
            </w:r>
          </w:p>
        </w:tc>
        <w:tc>
          <w:tcPr>
            <w:tcW w:w="5528" w:type="dxa"/>
            <w:noWrap/>
            <w:vAlign w:val="center"/>
          </w:tcPr>
          <w:p w14:paraId="0DA35826">
            <w:pPr>
              <w:autoSpaceDE/>
              <w:autoSpaceDN/>
              <w:rPr>
                <w:rFonts w:ascii="Times New Roman" w:hAnsi="Times New Roman" w:eastAsia="仿宋" w:cs="Times New Roman"/>
                <w:lang w:eastAsia="zh-CN"/>
              </w:rPr>
            </w:pPr>
            <w:r>
              <w:rPr>
                <w:rFonts w:ascii="Times New Roman" w:hAnsi="Times New Roman" w:eastAsia="仿宋" w:cs="Times New Roman"/>
                <w:lang w:eastAsia="zh-CN"/>
              </w:rPr>
              <w:t>推进农村牧区户用卫生厕所改造3.35万户，预计2025年底，全旗农村牧区户用卫生厕所普及率达到60%左右。</w:t>
            </w:r>
          </w:p>
        </w:tc>
        <w:tc>
          <w:tcPr>
            <w:tcW w:w="1701" w:type="dxa"/>
            <w:noWrap/>
            <w:vAlign w:val="center"/>
          </w:tcPr>
          <w:p w14:paraId="4E795BDB">
            <w:pPr>
              <w:autoSpaceDE/>
              <w:autoSpaceDN/>
              <w:rPr>
                <w:rFonts w:ascii="Times New Roman" w:hAnsi="Times New Roman" w:eastAsia="仿宋" w:cs="Times New Roman"/>
              </w:rPr>
            </w:pPr>
            <w:r>
              <w:rPr>
                <w:rFonts w:ascii="Times New Roman" w:hAnsi="Times New Roman" w:eastAsia="仿宋" w:cs="Times New Roman"/>
              </w:rPr>
              <w:t>翁牛特旗</w:t>
            </w:r>
          </w:p>
        </w:tc>
        <w:tc>
          <w:tcPr>
            <w:tcW w:w="1276" w:type="dxa"/>
            <w:noWrap/>
            <w:vAlign w:val="center"/>
          </w:tcPr>
          <w:p w14:paraId="20C5C74A">
            <w:pPr>
              <w:autoSpaceDE/>
              <w:autoSpaceDN/>
              <w:jc w:val="center"/>
              <w:rPr>
                <w:rFonts w:ascii="Times New Roman" w:hAnsi="Times New Roman" w:eastAsia="仿宋" w:cs="Times New Roman"/>
              </w:rPr>
            </w:pPr>
            <w:r>
              <w:rPr>
                <w:rFonts w:ascii="Times New Roman" w:hAnsi="Times New Roman" w:eastAsia="仿宋" w:cs="Times New Roman"/>
              </w:rPr>
              <w:t>2023-2025</w:t>
            </w:r>
          </w:p>
        </w:tc>
        <w:tc>
          <w:tcPr>
            <w:tcW w:w="1134" w:type="dxa"/>
            <w:noWrap/>
            <w:vAlign w:val="center"/>
          </w:tcPr>
          <w:p w14:paraId="5E7B167B">
            <w:pPr>
              <w:autoSpaceDE/>
              <w:autoSpaceDN/>
              <w:jc w:val="center"/>
              <w:rPr>
                <w:rFonts w:ascii="Times New Roman" w:hAnsi="Times New Roman" w:eastAsia="仿宋" w:cs="Times New Roman"/>
              </w:rPr>
            </w:pPr>
            <w:r>
              <w:rPr>
                <w:rFonts w:ascii="Times New Roman" w:hAnsi="Times New Roman" w:eastAsia="仿宋" w:cs="Times New Roman"/>
              </w:rPr>
              <w:t>0.500</w:t>
            </w:r>
          </w:p>
        </w:tc>
        <w:tc>
          <w:tcPr>
            <w:tcW w:w="1105" w:type="dxa"/>
            <w:vAlign w:val="center"/>
          </w:tcPr>
          <w:p w14:paraId="331A5A28">
            <w:pPr>
              <w:autoSpaceDE/>
              <w:autoSpaceDN/>
              <w:jc w:val="center"/>
              <w:rPr>
                <w:rFonts w:ascii="Times New Roman" w:hAnsi="Times New Roman" w:eastAsia="仿宋" w:cs="Times New Roman"/>
              </w:rPr>
            </w:pPr>
            <w:r>
              <w:rPr>
                <w:rFonts w:ascii="Times New Roman" w:hAnsi="Times New Roman" w:eastAsia="仿宋" w:cs="Times New Roman"/>
              </w:rPr>
              <w:t>正在实施</w:t>
            </w:r>
          </w:p>
        </w:tc>
        <w:tc>
          <w:tcPr>
            <w:tcW w:w="1272" w:type="dxa"/>
            <w:noWrap/>
            <w:vAlign w:val="center"/>
          </w:tcPr>
          <w:p w14:paraId="15017279">
            <w:pPr>
              <w:autoSpaceDE/>
              <w:autoSpaceDN/>
              <w:jc w:val="center"/>
              <w:rPr>
                <w:rFonts w:ascii="Times New Roman" w:hAnsi="Times New Roman" w:eastAsia="仿宋" w:cs="Times New Roman"/>
              </w:rPr>
            </w:pPr>
            <w:r>
              <w:rPr>
                <w:rFonts w:ascii="Times New Roman" w:hAnsi="Times New Roman" w:eastAsia="仿宋" w:cs="Times New Roman"/>
              </w:rPr>
              <w:t>翁牛特旗农牧业局</w:t>
            </w:r>
          </w:p>
        </w:tc>
      </w:tr>
      <w:tr w14:paraId="7B1B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24" w:type="dxa"/>
            <w:noWrap/>
            <w:vAlign w:val="center"/>
          </w:tcPr>
          <w:p w14:paraId="728F7B3F">
            <w:pPr>
              <w:autoSpaceDE/>
              <w:autoSpaceDN/>
              <w:jc w:val="center"/>
              <w:rPr>
                <w:rFonts w:ascii="Times New Roman" w:hAnsi="Times New Roman" w:eastAsia="仿宋" w:cs="Times New Roman"/>
                <w:lang w:eastAsia="zh-CN"/>
              </w:rPr>
            </w:pPr>
            <w:bookmarkStart w:id="584" w:name="OLE_LINK368"/>
            <w:bookmarkStart w:id="585" w:name="OLE_LINK369"/>
            <w:r>
              <w:rPr>
                <w:rFonts w:hint="eastAsia" w:ascii="Times New Roman" w:hAnsi="Times New Roman" w:eastAsia="仿宋" w:cs="Times New Roman"/>
                <w:lang w:eastAsia="zh-CN"/>
              </w:rPr>
              <w:t>10</w:t>
            </w:r>
          </w:p>
        </w:tc>
        <w:tc>
          <w:tcPr>
            <w:tcW w:w="1970" w:type="dxa"/>
            <w:noWrap/>
            <w:vAlign w:val="center"/>
          </w:tcPr>
          <w:p w14:paraId="057826D6">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翁牛特旗秸秆综合利用项目</w:t>
            </w:r>
          </w:p>
        </w:tc>
        <w:tc>
          <w:tcPr>
            <w:tcW w:w="5528" w:type="dxa"/>
            <w:noWrap/>
            <w:vAlign w:val="center"/>
          </w:tcPr>
          <w:p w14:paraId="6D769876">
            <w:pPr>
              <w:autoSpaceDE/>
              <w:autoSpaceDN/>
              <w:rPr>
                <w:rFonts w:ascii="Times New Roman" w:hAnsi="Times New Roman" w:eastAsia="仿宋" w:cs="Times New Roman"/>
                <w:lang w:eastAsia="zh-CN"/>
              </w:rPr>
            </w:pPr>
            <w:r>
              <w:rPr>
                <w:rFonts w:ascii="Times New Roman" w:hAnsi="Times New Roman" w:eastAsia="仿宋" w:cs="Times New Roman"/>
                <w:lang w:eastAsia="zh-CN"/>
              </w:rPr>
              <w:t>建设秸秆综合利用网点75处（收储运体、燃料化利用、饲料化利用、青黄贮等）。</w:t>
            </w:r>
          </w:p>
        </w:tc>
        <w:tc>
          <w:tcPr>
            <w:tcW w:w="1701" w:type="dxa"/>
            <w:noWrap/>
            <w:vAlign w:val="center"/>
          </w:tcPr>
          <w:p w14:paraId="79C3D3F6">
            <w:pPr>
              <w:autoSpaceDE/>
              <w:autoSpaceDN/>
              <w:jc w:val="center"/>
              <w:rPr>
                <w:rFonts w:ascii="Times New Roman" w:hAnsi="Times New Roman" w:eastAsia="仿宋" w:cs="Times New Roman"/>
              </w:rPr>
            </w:pPr>
            <w:r>
              <w:rPr>
                <w:rFonts w:ascii="Times New Roman" w:hAnsi="Times New Roman" w:eastAsia="仿宋" w:cs="Times New Roman"/>
              </w:rPr>
              <w:t>翁牛特旗</w:t>
            </w:r>
          </w:p>
        </w:tc>
        <w:tc>
          <w:tcPr>
            <w:tcW w:w="1276" w:type="dxa"/>
            <w:noWrap/>
            <w:vAlign w:val="center"/>
          </w:tcPr>
          <w:p w14:paraId="68A77030">
            <w:pPr>
              <w:autoSpaceDE/>
              <w:autoSpaceDN/>
              <w:jc w:val="center"/>
              <w:rPr>
                <w:rFonts w:ascii="Times New Roman" w:hAnsi="Times New Roman" w:eastAsia="仿宋" w:cs="Times New Roman"/>
              </w:rPr>
            </w:pPr>
            <w:r>
              <w:rPr>
                <w:rFonts w:ascii="Times New Roman" w:hAnsi="Times New Roman" w:eastAsia="仿宋" w:cs="Times New Roman"/>
              </w:rPr>
              <w:t>2023-2025</w:t>
            </w:r>
          </w:p>
        </w:tc>
        <w:tc>
          <w:tcPr>
            <w:tcW w:w="1134" w:type="dxa"/>
            <w:noWrap/>
            <w:vAlign w:val="center"/>
          </w:tcPr>
          <w:p w14:paraId="7A87C9F6">
            <w:pPr>
              <w:autoSpaceDE/>
              <w:autoSpaceDN/>
              <w:jc w:val="center"/>
              <w:rPr>
                <w:rFonts w:ascii="Times New Roman" w:hAnsi="Times New Roman" w:eastAsia="仿宋" w:cs="Times New Roman"/>
              </w:rPr>
            </w:pPr>
            <w:r>
              <w:rPr>
                <w:rFonts w:ascii="Times New Roman" w:hAnsi="Times New Roman" w:eastAsia="仿宋" w:cs="Times New Roman"/>
              </w:rPr>
              <w:t>0.900</w:t>
            </w:r>
          </w:p>
        </w:tc>
        <w:tc>
          <w:tcPr>
            <w:tcW w:w="1105" w:type="dxa"/>
            <w:vAlign w:val="center"/>
          </w:tcPr>
          <w:p w14:paraId="465BCB1E">
            <w:pPr>
              <w:autoSpaceDE/>
              <w:autoSpaceDN/>
              <w:jc w:val="center"/>
              <w:rPr>
                <w:rFonts w:ascii="Times New Roman" w:hAnsi="Times New Roman" w:eastAsia="仿宋" w:cs="Times New Roman"/>
              </w:rPr>
            </w:pPr>
            <w:bookmarkStart w:id="586" w:name="OLE_LINK362"/>
            <w:r>
              <w:rPr>
                <w:rFonts w:ascii="Times New Roman" w:hAnsi="Times New Roman" w:eastAsia="仿宋" w:cs="Times New Roman"/>
              </w:rPr>
              <w:t>正在实施</w:t>
            </w:r>
            <w:bookmarkEnd w:id="586"/>
          </w:p>
        </w:tc>
        <w:tc>
          <w:tcPr>
            <w:tcW w:w="1272" w:type="dxa"/>
            <w:noWrap/>
            <w:vAlign w:val="center"/>
          </w:tcPr>
          <w:p w14:paraId="4A8C1557">
            <w:pPr>
              <w:autoSpaceDE/>
              <w:autoSpaceDN/>
              <w:jc w:val="center"/>
              <w:rPr>
                <w:rFonts w:ascii="Times New Roman" w:hAnsi="Times New Roman" w:eastAsia="仿宋" w:cs="Times New Roman"/>
              </w:rPr>
            </w:pPr>
            <w:r>
              <w:rPr>
                <w:rFonts w:ascii="Times New Roman" w:hAnsi="Times New Roman" w:eastAsia="仿宋" w:cs="Times New Roman"/>
              </w:rPr>
              <w:t>翁牛特旗农牧业局</w:t>
            </w:r>
          </w:p>
        </w:tc>
      </w:tr>
      <w:bookmarkEnd w:id="584"/>
      <w:bookmarkEnd w:id="585"/>
      <w:tr w14:paraId="027D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724" w:type="dxa"/>
            <w:noWrap/>
            <w:vAlign w:val="center"/>
          </w:tcPr>
          <w:p w14:paraId="698F7CC4">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11</w:t>
            </w:r>
          </w:p>
        </w:tc>
        <w:tc>
          <w:tcPr>
            <w:tcW w:w="1970" w:type="dxa"/>
            <w:noWrap/>
            <w:vAlign w:val="center"/>
          </w:tcPr>
          <w:p w14:paraId="40B253E1">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翁牛特旗赤峰玉龙工业园区基础及功能配套提升项目</w:t>
            </w:r>
          </w:p>
        </w:tc>
        <w:tc>
          <w:tcPr>
            <w:tcW w:w="5528" w:type="dxa"/>
            <w:noWrap/>
            <w:vAlign w:val="center"/>
          </w:tcPr>
          <w:p w14:paraId="1448AF10">
            <w:pPr>
              <w:autoSpaceDE/>
              <w:autoSpaceDN/>
              <w:rPr>
                <w:rFonts w:ascii="Times New Roman" w:hAnsi="Times New Roman" w:eastAsia="仿宋" w:cs="Times New Roman"/>
                <w:lang w:eastAsia="zh-CN"/>
              </w:rPr>
            </w:pPr>
            <w:r>
              <w:rPr>
                <w:rFonts w:ascii="Times New Roman" w:hAnsi="Times New Roman" w:eastAsia="仿宋" w:cs="Times New Roman"/>
                <w:lang w:eastAsia="zh-CN"/>
              </w:rPr>
              <w:t>新建园区污水管网29.9千米，污水提升泵站2座（3000吨/日）；新建园区中水回用管网总长14.5公里；园区给水管网改造12.7公里，园区主干街路绿化，主要街道安装路灯420盏；新建公厕4个。</w:t>
            </w:r>
          </w:p>
        </w:tc>
        <w:tc>
          <w:tcPr>
            <w:tcW w:w="1701" w:type="dxa"/>
            <w:noWrap/>
            <w:vAlign w:val="center"/>
          </w:tcPr>
          <w:p w14:paraId="4370C7DD">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翁牛特旗赤峰玉龙工业园区</w:t>
            </w:r>
          </w:p>
        </w:tc>
        <w:tc>
          <w:tcPr>
            <w:tcW w:w="1276" w:type="dxa"/>
            <w:noWrap/>
            <w:vAlign w:val="center"/>
          </w:tcPr>
          <w:p w14:paraId="58B034F6">
            <w:pPr>
              <w:autoSpaceDE/>
              <w:autoSpaceDN/>
              <w:jc w:val="center"/>
              <w:rPr>
                <w:rFonts w:ascii="Times New Roman" w:hAnsi="Times New Roman" w:eastAsia="仿宋" w:cs="Times New Roman"/>
              </w:rPr>
            </w:pPr>
            <w:r>
              <w:rPr>
                <w:rFonts w:ascii="Times New Roman" w:hAnsi="Times New Roman" w:eastAsia="仿宋" w:cs="Times New Roman"/>
              </w:rPr>
              <w:t>2023-2024</w:t>
            </w:r>
          </w:p>
        </w:tc>
        <w:tc>
          <w:tcPr>
            <w:tcW w:w="1134" w:type="dxa"/>
            <w:noWrap/>
            <w:vAlign w:val="center"/>
          </w:tcPr>
          <w:p w14:paraId="7AECACBC">
            <w:pPr>
              <w:autoSpaceDE/>
              <w:autoSpaceDN/>
              <w:jc w:val="center"/>
              <w:rPr>
                <w:rFonts w:ascii="Times New Roman" w:hAnsi="Times New Roman" w:eastAsia="仿宋" w:cs="Times New Roman"/>
              </w:rPr>
            </w:pPr>
            <w:r>
              <w:rPr>
                <w:rFonts w:ascii="Times New Roman" w:hAnsi="Times New Roman" w:eastAsia="仿宋" w:cs="Times New Roman"/>
              </w:rPr>
              <w:t>1.270</w:t>
            </w:r>
          </w:p>
        </w:tc>
        <w:tc>
          <w:tcPr>
            <w:tcW w:w="1105" w:type="dxa"/>
            <w:vAlign w:val="center"/>
          </w:tcPr>
          <w:p w14:paraId="64ABB3A9">
            <w:pPr>
              <w:autoSpaceDE/>
              <w:autoSpaceDN/>
              <w:jc w:val="center"/>
              <w:rPr>
                <w:rFonts w:ascii="Times New Roman" w:hAnsi="Times New Roman" w:eastAsia="仿宋" w:cs="Times New Roman"/>
              </w:rPr>
            </w:pPr>
            <w:r>
              <w:rPr>
                <w:rFonts w:ascii="Times New Roman" w:hAnsi="Times New Roman" w:eastAsia="仿宋" w:cs="Times New Roman"/>
              </w:rPr>
              <w:t>正在实施</w:t>
            </w:r>
          </w:p>
        </w:tc>
        <w:tc>
          <w:tcPr>
            <w:tcW w:w="1272" w:type="dxa"/>
            <w:noWrap/>
            <w:vAlign w:val="center"/>
          </w:tcPr>
          <w:p w14:paraId="2A1854E7">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内蒙古赤峰农畜产品开发区管理委员会</w:t>
            </w:r>
          </w:p>
        </w:tc>
      </w:tr>
      <w:tr w14:paraId="5F1B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724" w:type="dxa"/>
            <w:noWrap/>
            <w:vAlign w:val="center"/>
          </w:tcPr>
          <w:p w14:paraId="36163450">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12</w:t>
            </w:r>
          </w:p>
        </w:tc>
        <w:tc>
          <w:tcPr>
            <w:tcW w:w="1970" w:type="dxa"/>
            <w:noWrap/>
            <w:vAlign w:val="center"/>
          </w:tcPr>
          <w:p w14:paraId="0CE1B92F">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翁牛特旗紫城生活垃圾处理厂扩建工程项目</w:t>
            </w:r>
          </w:p>
        </w:tc>
        <w:tc>
          <w:tcPr>
            <w:tcW w:w="5528" w:type="dxa"/>
            <w:noWrap/>
            <w:vAlign w:val="center"/>
          </w:tcPr>
          <w:p w14:paraId="4A89FB91">
            <w:pPr>
              <w:autoSpaceDE/>
              <w:autoSpaceDN/>
              <w:rPr>
                <w:rFonts w:ascii="Times New Roman" w:hAnsi="Times New Roman" w:eastAsia="仿宋" w:cs="Times New Roman"/>
                <w:lang w:eastAsia="zh-CN"/>
              </w:rPr>
            </w:pPr>
            <w:r>
              <w:rPr>
                <w:rFonts w:ascii="Times New Roman" w:hAnsi="Times New Roman" w:eastAsia="仿宋" w:cs="Times New Roman"/>
                <w:lang w:eastAsia="zh-CN"/>
              </w:rPr>
              <w:t>拟建生活垃圾卫生填埋场1座及相应附属设施，填埋场设计规模为200t/d，库容173.74万立方米。</w:t>
            </w:r>
          </w:p>
        </w:tc>
        <w:tc>
          <w:tcPr>
            <w:tcW w:w="1701" w:type="dxa"/>
            <w:noWrap/>
            <w:vAlign w:val="center"/>
          </w:tcPr>
          <w:p w14:paraId="2A84CC0F">
            <w:pPr>
              <w:autoSpaceDE/>
              <w:autoSpaceDN/>
              <w:rPr>
                <w:rFonts w:ascii="Times New Roman" w:hAnsi="Times New Roman" w:eastAsia="仿宋" w:cs="Times New Roman"/>
              </w:rPr>
            </w:pPr>
            <w:r>
              <w:rPr>
                <w:rFonts w:ascii="Times New Roman" w:hAnsi="Times New Roman" w:eastAsia="仿宋" w:cs="Times New Roman"/>
              </w:rPr>
              <w:t>翁牛特旗乌丹镇</w:t>
            </w:r>
          </w:p>
        </w:tc>
        <w:tc>
          <w:tcPr>
            <w:tcW w:w="1276" w:type="dxa"/>
            <w:noWrap/>
            <w:vAlign w:val="center"/>
          </w:tcPr>
          <w:p w14:paraId="439521E2">
            <w:pPr>
              <w:autoSpaceDE/>
              <w:autoSpaceDN/>
              <w:jc w:val="center"/>
              <w:rPr>
                <w:rFonts w:ascii="Times New Roman" w:hAnsi="Times New Roman" w:eastAsia="仿宋" w:cs="Times New Roman"/>
              </w:rPr>
            </w:pPr>
            <w:r>
              <w:rPr>
                <w:rFonts w:ascii="Times New Roman" w:hAnsi="Times New Roman" w:eastAsia="仿宋" w:cs="Times New Roman"/>
              </w:rPr>
              <w:t>2023-2025</w:t>
            </w:r>
          </w:p>
        </w:tc>
        <w:tc>
          <w:tcPr>
            <w:tcW w:w="1134" w:type="dxa"/>
            <w:noWrap/>
            <w:vAlign w:val="center"/>
          </w:tcPr>
          <w:p w14:paraId="4B41AB0D">
            <w:pPr>
              <w:autoSpaceDE/>
              <w:autoSpaceDN/>
              <w:jc w:val="center"/>
              <w:rPr>
                <w:rFonts w:ascii="Times New Roman" w:hAnsi="Times New Roman" w:eastAsia="仿宋" w:cs="Times New Roman"/>
              </w:rPr>
            </w:pPr>
            <w:r>
              <w:rPr>
                <w:rFonts w:ascii="Times New Roman" w:hAnsi="Times New Roman" w:eastAsia="仿宋" w:cs="Times New Roman"/>
              </w:rPr>
              <w:t>1.700</w:t>
            </w:r>
          </w:p>
        </w:tc>
        <w:tc>
          <w:tcPr>
            <w:tcW w:w="1105" w:type="dxa"/>
            <w:vAlign w:val="center"/>
          </w:tcPr>
          <w:p w14:paraId="314BE44B">
            <w:pPr>
              <w:autoSpaceDE/>
              <w:autoSpaceDN/>
              <w:jc w:val="center"/>
              <w:rPr>
                <w:rFonts w:ascii="Times New Roman" w:hAnsi="Times New Roman" w:eastAsia="仿宋" w:cs="Times New Roman"/>
              </w:rPr>
            </w:pPr>
            <w:r>
              <w:rPr>
                <w:rFonts w:ascii="Times New Roman" w:hAnsi="Times New Roman" w:eastAsia="仿宋" w:cs="Times New Roman"/>
              </w:rPr>
              <w:t>正在实施</w:t>
            </w:r>
          </w:p>
        </w:tc>
        <w:tc>
          <w:tcPr>
            <w:tcW w:w="1272" w:type="dxa"/>
            <w:noWrap/>
            <w:vAlign w:val="center"/>
          </w:tcPr>
          <w:p w14:paraId="4781F187">
            <w:pPr>
              <w:autoSpaceDE/>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翁牛特旗城市管理综合行政执法局</w:t>
            </w:r>
          </w:p>
        </w:tc>
      </w:tr>
      <w:tr w14:paraId="7D6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24" w:type="dxa"/>
            <w:noWrap/>
            <w:vAlign w:val="center"/>
          </w:tcPr>
          <w:p w14:paraId="4476F1BF">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13</w:t>
            </w:r>
          </w:p>
        </w:tc>
        <w:tc>
          <w:tcPr>
            <w:tcW w:w="1970" w:type="dxa"/>
            <w:noWrap/>
            <w:vAlign w:val="center"/>
          </w:tcPr>
          <w:p w14:paraId="2224F478">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翁牛特旗兴阳供热有限公司超低排放改造项目</w:t>
            </w:r>
          </w:p>
        </w:tc>
        <w:tc>
          <w:tcPr>
            <w:tcW w:w="5528" w:type="dxa"/>
            <w:noWrap/>
            <w:vAlign w:val="center"/>
          </w:tcPr>
          <w:p w14:paraId="7EC36F64">
            <w:pPr>
              <w:autoSpaceDE/>
              <w:autoSpaceDN/>
              <w:rPr>
                <w:rFonts w:ascii="Times New Roman" w:hAnsi="Times New Roman" w:eastAsia="仿宋" w:cs="Times New Roman"/>
                <w:lang w:eastAsia="zh-CN"/>
              </w:rPr>
            </w:pPr>
            <w:r>
              <w:rPr>
                <w:rFonts w:ascii="Times New Roman" w:hAnsi="Times New Roman" w:eastAsia="仿宋" w:cs="Times New Roman"/>
                <w:lang w:eastAsia="zh-CN"/>
              </w:rPr>
              <w:t>对翁牛特旗兴阳供热有限公司锅炉脱硫除尘设施进行超低排放改造</w:t>
            </w:r>
          </w:p>
        </w:tc>
        <w:tc>
          <w:tcPr>
            <w:tcW w:w="1701" w:type="dxa"/>
            <w:noWrap/>
            <w:vAlign w:val="center"/>
          </w:tcPr>
          <w:p w14:paraId="2A953A54">
            <w:pPr>
              <w:autoSpaceDE/>
              <w:autoSpaceDN/>
              <w:rPr>
                <w:rFonts w:ascii="Times New Roman" w:hAnsi="Times New Roman" w:eastAsia="仿宋" w:cs="Times New Roman"/>
              </w:rPr>
            </w:pPr>
            <w:r>
              <w:rPr>
                <w:rFonts w:ascii="Times New Roman" w:hAnsi="Times New Roman" w:eastAsia="仿宋" w:cs="Times New Roman"/>
              </w:rPr>
              <w:t>翁牛特旗乌丹镇</w:t>
            </w:r>
          </w:p>
        </w:tc>
        <w:tc>
          <w:tcPr>
            <w:tcW w:w="1276" w:type="dxa"/>
            <w:noWrap/>
            <w:vAlign w:val="center"/>
          </w:tcPr>
          <w:p w14:paraId="39EB6AAE">
            <w:pPr>
              <w:autoSpaceDE/>
              <w:autoSpaceDN/>
              <w:jc w:val="center"/>
              <w:rPr>
                <w:rFonts w:ascii="Times New Roman" w:hAnsi="Times New Roman" w:eastAsia="仿宋" w:cs="Times New Roman"/>
              </w:rPr>
            </w:pPr>
            <w:r>
              <w:rPr>
                <w:rFonts w:ascii="Times New Roman" w:hAnsi="Times New Roman" w:eastAsia="仿宋" w:cs="Times New Roman"/>
              </w:rPr>
              <w:t>2024-2026</w:t>
            </w:r>
          </w:p>
        </w:tc>
        <w:tc>
          <w:tcPr>
            <w:tcW w:w="1134" w:type="dxa"/>
            <w:noWrap/>
            <w:vAlign w:val="center"/>
          </w:tcPr>
          <w:p w14:paraId="1768579A">
            <w:pPr>
              <w:autoSpaceDE/>
              <w:autoSpaceDN/>
              <w:jc w:val="center"/>
              <w:rPr>
                <w:rFonts w:ascii="Times New Roman" w:hAnsi="Times New Roman" w:eastAsia="仿宋" w:cs="Times New Roman"/>
              </w:rPr>
            </w:pPr>
            <w:r>
              <w:rPr>
                <w:rFonts w:ascii="Times New Roman" w:hAnsi="Times New Roman" w:eastAsia="仿宋" w:cs="Times New Roman"/>
              </w:rPr>
              <w:t>0.500</w:t>
            </w:r>
          </w:p>
        </w:tc>
        <w:tc>
          <w:tcPr>
            <w:tcW w:w="1105" w:type="dxa"/>
            <w:vAlign w:val="center"/>
          </w:tcPr>
          <w:p w14:paraId="18F55FE0">
            <w:pPr>
              <w:autoSpaceDE/>
              <w:autoSpaceDN/>
              <w:jc w:val="center"/>
              <w:rPr>
                <w:rFonts w:ascii="Times New Roman" w:hAnsi="Times New Roman" w:eastAsia="仿宋" w:cs="Times New Roman"/>
              </w:rPr>
            </w:pPr>
            <w:r>
              <w:rPr>
                <w:rFonts w:ascii="Times New Roman" w:hAnsi="Times New Roman" w:eastAsia="仿宋" w:cs="Times New Roman"/>
              </w:rPr>
              <w:t>计划实施</w:t>
            </w:r>
          </w:p>
        </w:tc>
        <w:tc>
          <w:tcPr>
            <w:tcW w:w="1272" w:type="dxa"/>
            <w:noWrap/>
            <w:vAlign w:val="center"/>
          </w:tcPr>
          <w:p w14:paraId="186BDF4E">
            <w:pPr>
              <w:autoSpaceDE/>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翁牛特旗兴阳供热有限公司</w:t>
            </w:r>
          </w:p>
        </w:tc>
      </w:tr>
      <w:tr w14:paraId="43AF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724" w:type="dxa"/>
            <w:noWrap/>
            <w:vAlign w:val="center"/>
          </w:tcPr>
          <w:p w14:paraId="46BDE0D1">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14</w:t>
            </w:r>
          </w:p>
        </w:tc>
        <w:tc>
          <w:tcPr>
            <w:tcW w:w="1970" w:type="dxa"/>
            <w:noWrap/>
            <w:vAlign w:val="center"/>
          </w:tcPr>
          <w:p w14:paraId="7D668278">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翁牛特旗梧桐花镇、亿合公镇污水处理工程建设项目</w:t>
            </w:r>
          </w:p>
        </w:tc>
        <w:tc>
          <w:tcPr>
            <w:tcW w:w="5528" w:type="dxa"/>
            <w:noWrap/>
            <w:vAlign w:val="center"/>
          </w:tcPr>
          <w:p w14:paraId="60A83FE9">
            <w:pPr>
              <w:autoSpaceDE/>
              <w:autoSpaceDN/>
              <w:rPr>
                <w:rFonts w:ascii="Times New Roman" w:hAnsi="Times New Roman" w:eastAsia="仿宋" w:cs="Times New Roman"/>
                <w:lang w:eastAsia="zh-CN"/>
              </w:rPr>
            </w:pPr>
            <w:r>
              <w:rPr>
                <w:rFonts w:ascii="Times New Roman" w:hAnsi="Times New Roman" w:eastAsia="仿宋" w:cs="Times New Roman"/>
                <w:lang w:eastAsia="zh-CN"/>
              </w:rPr>
              <w:t>在翁牛特旗梧桐花镇、亿合公镇镇区建设污水处理设施，处理镇区生活污水</w:t>
            </w:r>
          </w:p>
        </w:tc>
        <w:tc>
          <w:tcPr>
            <w:tcW w:w="1701" w:type="dxa"/>
            <w:noWrap/>
            <w:vAlign w:val="center"/>
          </w:tcPr>
          <w:p w14:paraId="31A8B379">
            <w:pPr>
              <w:autoSpaceDE/>
              <w:autoSpaceDN/>
              <w:rPr>
                <w:rFonts w:ascii="Times New Roman" w:hAnsi="Times New Roman" w:eastAsia="仿宋" w:cs="Times New Roman"/>
                <w:lang w:eastAsia="zh-CN"/>
              </w:rPr>
            </w:pPr>
            <w:r>
              <w:rPr>
                <w:rFonts w:ascii="Times New Roman" w:hAnsi="Times New Roman" w:eastAsia="仿宋" w:cs="Times New Roman"/>
                <w:lang w:eastAsia="zh-CN"/>
              </w:rPr>
              <w:t>翁牛特旗梧桐花镇、亿合公镇</w:t>
            </w:r>
          </w:p>
        </w:tc>
        <w:tc>
          <w:tcPr>
            <w:tcW w:w="1276" w:type="dxa"/>
            <w:noWrap/>
            <w:vAlign w:val="center"/>
          </w:tcPr>
          <w:p w14:paraId="2FF9FD07">
            <w:pPr>
              <w:autoSpaceDE/>
              <w:autoSpaceDN/>
              <w:jc w:val="center"/>
              <w:rPr>
                <w:rFonts w:ascii="Times New Roman" w:hAnsi="Times New Roman" w:eastAsia="仿宋" w:cs="Times New Roman"/>
              </w:rPr>
            </w:pPr>
            <w:r>
              <w:rPr>
                <w:rFonts w:ascii="Times New Roman" w:hAnsi="Times New Roman" w:eastAsia="仿宋" w:cs="Times New Roman"/>
              </w:rPr>
              <w:t>2025-2026</w:t>
            </w:r>
          </w:p>
        </w:tc>
        <w:tc>
          <w:tcPr>
            <w:tcW w:w="1134" w:type="dxa"/>
            <w:noWrap/>
            <w:vAlign w:val="center"/>
          </w:tcPr>
          <w:p w14:paraId="246CC7BE">
            <w:pPr>
              <w:autoSpaceDE/>
              <w:autoSpaceDN/>
              <w:jc w:val="center"/>
              <w:rPr>
                <w:rFonts w:ascii="Times New Roman" w:hAnsi="Times New Roman" w:eastAsia="仿宋" w:cs="Times New Roman"/>
              </w:rPr>
            </w:pPr>
            <w:r>
              <w:rPr>
                <w:rFonts w:ascii="Times New Roman" w:hAnsi="Times New Roman" w:eastAsia="仿宋" w:cs="Times New Roman"/>
              </w:rPr>
              <w:t>0.080</w:t>
            </w:r>
          </w:p>
        </w:tc>
        <w:tc>
          <w:tcPr>
            <w:tcW w:w="1105" w:type="dxa"/>
            <w:vAlign w:val="center"/>
          </w:tcPr>
          <w:p w14:paraId="7C378176">
            <w:pPr>
              <w:autoSpaceDE/>
              <w:autoSpaceDN/>
              <w:jc w:val="center"/>
              <w:rPr>
                <w:rFonts w:ascii="Times New Roman" w:hAnsi="Times New Roman" w:eastAsia="仿宋" w:cs="Times New Roman"/>
              </w:rPr>
            </w:pPr>
            <w:r>
              <w:rPr>
                <w:rFonts w:ascii="Times New Roman" w:hAnsi="Times New Roman" w:eastAsia="仿宋" w:cs="Times New Roman"/>
              </w:rPr>
              <w:t>计划实施</w:t>
            </w:r>
          </w:p>
        </w:tc>
        <w:tc>
          <w:tcPr>
            <w:tcW w:w="1272" w:type="dxa"/>
            <w:noWrap/>
            <w:vAlign w:val="center"/>
          </w:tcPr>
          <w:p w14:paraId="786E89F8">
            <w:pPr>
              <w:autoSpaceDE/>
              <w:autoSpaceDN/>
              <w:jc w:val="center"/>
              <w:rPr>
                <w:rFonts w:ascii="Times New Roman" w:hAnsi="Times New Roman" w:eastAsia="仿宋" w:cs="Times New Roman"/>
                <w:lang w:eastAsia="zh-CN"/>
              </w:rPr>
            </w:pPr>
            <w:r>
              <w:rPr>
                <w:rFonts w:ascii="Times New Roman" w:hAnsi="Times New Roman" w:eastAsia="仿宋" w:cs="Times New Roman"/>
                <w:lang w:eastAsia="zh-CN"/>
              </w:rPr>
              <w:t>赤峰市生态环境局翁牛特旗分局</w:t>
            </w:r>
          </w:p>
        </w:tc>
      </w:tr>
      <w:tr w14:paraId="3689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199" w:type="dxa"/>
            <w:gridSpan w:val="5"/>
            <w:noWrap/>
            <w:vAlign w:val="center"/>
          </w:tcPr>
          <w:p w14:paraId="4DC71C03">
            <w:pPr>
              <w:autoSpaceDE/>
              <w:autoSpaceDN/>
              <w:jc w:val="center"/>
              <w:rPr>
                <w:rFonts w:ascii="Times New Roman" w:hAnsi="Times New Roman" w:eastAsia="仿宋" w:cs="Times New Roman"/>
              </w:rPr>
            </w:pPr>
            <w:r>
              <w:rPr>
                <w:rFonts w:ascii="Times New Roman" w:hAnsi="Times New Roman" w:eastAsia="仿宋" w:cs="Times New Roman"/>
              </w:rPr>
              <w:t>合计</w:t>
            </w:r>
          </w:p>
        </w:tc>
        <w:tc>
          <w:tcPr>
            <w:tcW w:w="1134" w:type="dxa"/>
            <w:noWrap/>
            <w:vAlign w:val="center"/>
          </w:tcPr>
          <w:p w14:paraId="6A8A8C09">
            <w:pPr>
              <w:autoSpaceDE/>
              <w:autoSpaceDN/>
              <w:jc w:val="center"/>
              <w:rPr>
                <w:rFonts w:ascii="Times New Roman" w:hAnsi="Times New Roman" w:eastAsia="仿宋" w:cs="Times New Roman"/>
                <w:lang w:eastAsia="zh-CN"/>
              </w:rPr>
            </w:pPr>
            <w:r>
              <w:rPr>
                <w:rFonts w:hint="eastAsia" w:ascii="Times New Roman" w:hAnsi="Times New Roman" w:eastAsia="仿宋" w:cs="Times New Roman"/>
                <w:lang w:eastAsia="zh-CN"/>
              </w:rPr>
              <w:t>18.075</w:t>
            </w:r>
          </w:p>
        </w:tc>
        <w:tc>
          <w:tcPr>
            <w:tcW w:w="1105" w:type="dxa"/>
          </w:tcPr>
          <w:p w14:paraId="602B1327">
            <w:pPr>
              <w:autoSpaceDE/>
              <w:autoSpaceDN/>
              <w:jc w:val="center"/>
              <w:rPr>
                <w:rFonts w:ascii="Times New Roman" w:hAnsi="Times New Roman" w:eastAsia="仿宋" w:cs="Times New Roman"/>
              </w:rPr>
            </w:pPr>
          </w:p>
        </w:tc>
        <w:tc>
          <w:tcPr>
            <w:tcW w:w="1272" w:type="dxa"/>
            <w:noWrap/>
            <w:vAlign w:val="center"/>
          </w:tcPr>
          <w:p w14:paraId="6F8AAFDC">
            <w:pPr>
              <w:autoSpaceDE/>
              <w:autoSpaceDN/>
              <w:jc w:val="center"/>
              <w:rPr>
                <w:rFonts w:ascii="Times New Roman" w:hAnsi="Times New Roman" w:eastAsia="仿宋" w:cs="Times New Roman"/>
              </w:rPr>
            </w:pPr>
          </w:p>
        </w:tc>
      </w:tr>
      <w:bookmarkEnd w:id="576"/>
    </w:tbl>
    <w:p w14:paraId="4B611623">
      <w:pPr>
        <w:rPr>
          <w:rFonts w:ascii="Times New Roman" w:hAnsi="Times New Roman" w:cs="Times New Roman" w:eastAsiaTheme="minorEastAsia"/>
          <w:lang w:eastAsia="zh-CN"/>
        </w:rPr>
      </w:pPr>
    </w:p>
    <w:p w14:paraId="5DFA5CC7">
      <w:pPr>
        <w:pStyle w:val="2"/>
        <w:jc w:val="left"/>
        <w:rPr>
          <w:rFonts w:hint="default" w:ascii="Times New Roman" w:hAnsi="Times New Roman"/>
          <w:color w:val="auto"/>
          <w:sz w:val="28"/>
          <w:szCs w:val="28"/>
        </w:rPr>
        <w:sectPr>
          <w:pgSz w:w="16839" w:h="11907" w:orient="landscape"/>
          <w:pgMar w:top="1440" w:right="1080" w:bottom="1440" w:left="1080" w:header="1020" w:footer="1020" w:gutter="0"/>
          <w:cols w:space="720" w:num="1"/>
          <w:docGrid w:linePitch="286" w:charSpace="0"/>
        </w:sectPr>
      </w:pPr>
      <w:bookmarkStart w:id="587" w:name="bookmark125"/>
      <w:bookmarkEnd w:id="587"/>
      <w:bookmarkStart w:id="588" w:name="bookmark124"/>
      <w:bookmarkEnd w:id="588"/>
      <w:bookmarkStart w:id="589" w:name="bookmark123"/>
      <w:bookmarkEnd w:id="589"/>
      <w:bookmarkStart w:id="590" w:name="bookmark126"/>
      <w:bookmarkEnd w:id="590"/>
    </w:p>
    <w:p w14:paraId="68C63161">
      <w:pPr>
        <w:pStyle w:val="2"/>
        <w:spacing w:after="120" w:afterLines="50"/>
        <w:jc w:val="left"/>
        <w:rPr>
          <w:rFonts w:hint="default" w:ascii="Times New Roman" w:hAnsi="Times New Roman" w:eastAsia="仿宋"/>
          <w:color w:val="auto"/>
          <w:sz w:val="28"/>
          <w:szCs w:val="28"/>
        </w:rPr>
      </w:pPr>
      <w:bookmarkStart w:id="591" w:name="_Toc183187333"/>
      <w:r>
        <w:rPr>
          <w:rFonts w:hint="default" w:ascii="Times New Roman" w:hAnsi="Times New Roman" w:eastAsia="仿宋"/>
          <w:color w:val="auto"/>
          <w:sz w:val="28"/>
          <w:szCs w:val="28"/>
        </w:rPr>
        <w:t>附表2 生态经济体系建设工程表</w:t>
      </w:r>
      <w:bookmarkEnd w:id="591"/>
    </w:p>
    <w:tbl>
      <w:tblPr>
        <w:tblStyle w:val="22"/>
        <w:tblW w:w="147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98"/>
        <w:gridCol w:w="4944"/>
        <w:gridCol w:w="1248"/>
        <w:gridCol w:w="1359"/>
        <w:gridCol w:w="1238"/>
        <w:gridCol w:w="1275"/>
        <w:gridCol w:w="1663"/>
      </w:tblGrid>
      <w:tr w14:paraId="77B3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779" w:type="dxa"/>
            <w:shd w:val="clear" w:color="auto" w:fill="D9D9D9"/>
            <w:noWrap/>
            <w:vAlign w:val="center"/>
          </w:tcPr>
          <w:p w14:paraId="02FE1385">
            <w:pPr>
              <w:autoSpaceDN/>
              <w:jc w:val="center"/>
              <w:rPr>
                <w:rFonts w:ascii="Times New Roman" w:hAnsi="Times New Roman" w:eastAsia="仿宋" w:cs="Times New Roman"/>
                <w:b/>
              </w:rPr>
            </w:pPr>
            <w:r>
              <w:rPr>
                <w:rFonts w:ascii="Times New Roman" w:hAnsi="Times New Roman" w:eastAsia="仿宋" w:cs="Times New Roman"/>
                <w:b/>
              </w:rPr>
              <w:t>序号</w:t>
            </w:r>
          </w:p>
        </w:tc>
        <w:tc>
          <w:tcPr>
            <w:tcW w:w="2198" w:type="dxa"/>
            <w:shd w:val="clear" w:color="auto" w:fill="D9D9D9"/>
            <w:noWrap/>
            <w:vAlign w:val="center"/>
          </w:tcPr>
          <w:p w14:paraId="683F7F0D">
            <w:pPr>
              <w:autoSpaceDN/>
              <w:jc w:val="center"/>
              <w:rPr>
                <w:rFonts w:ascii="Times New Roman" w:hAnsi="Times New Roman" w:eastAsia="仿宋" w:cs="Times New Roman"/>
                <w:b/>
              </w:rPr>
            </w:pPr>
            <w:r>
              <w:rPr>
                <w:rFonts w:ascii="Times New Roman" w:hAnsi="Times New Roman" w:eastAsia="仿宋" w:cs="Times New Roman"/>
                <w:b/>
              </w:rPr>
              <w:t>项目名称</w:t>
            </w:r>
          </w:p>
        </w:tc>
        <w:tc>
          <w:tcPr>
            <w:tcW w:w="4944" w:type="dxa"/>
            <w:shd w:val="clear" w:color="auto" w:fill="D9D9D9"/>
            <w:noWrap/>
            <w:vAlign w:val="center"/>
          </w:tcPr>
          <w:p w14:paraId="66F9F63B">
            <w:pPr>
              <w:autoSpaceDN/>
              <w:jc w:val="center"/>
              <w:rPr>
                <w:rFonts w:ascii="Times New Roman" w:hAnsi="Times New Roman" w:eastAsia="仿宋" w:cs="Times New Roman"/>
                <w:b/>
              </w:rPr>
            </w:pPr>
            <w:r>
              <w:rPr>
                <w:rFonts w:ascii="Times New Roman" w:hAnsi="Times New Roman" w:eastAsia="仿宋" w:cs="Times New Roman"/>
                <w:b/>
              </w:rPr>
              <w:t>项目内容</w:t>
            </w:r>
          </w:p>
        </w:tc>
        <w:tc>
          <w:tcPr>
            <w:tcW w:w="1248" w:type="dxa"/>
            <w:shd w:val="clear" w:color="auto" w:fill="D9D9D9"/>
            <w:noWrap/>
            <w:vAlign w:val="center"/>
          </w:tcPr>
          <w:p w14:paraId="1E68247B">
            <w:pPr>
              <w:autoSpaceDN/>
              <w:jc w:val="center"/>
              <w:rPr>
                <w:rFonts w:ascii="Times New Roman" w:hAnsi="Times New Roman" w:eastAsia="仿宋" w:cs="Times New Roman"/>
                <w:b/>
              </w:rPr>
            </w:pPr>
            <w:r>
              <w:rPr>
                <w:rFonts w:ascii="Times New Roman" w:hAnsi="Times New Roman" w:eastAsia="仿宋" w:cs="Times New Roman"/>
                <w:b/>
              </w:rPr>
              <w:t>实施地点</w:t>
            </w:r>
          </w:p>
        </w:tc>
        <w:tc>
          <w:tcPr>
            <w:tcW w:w="1359" w:type="dxa"/>
            <w:shd w:val="clear" w:color="auto" w:fill="D9D9D9"/>
            <w:noWrap/>
            <w:vAlign w:val="center"/>
          </w:tcPr>
          <w:p w14:paraId="1C4C3D81">
            <w:pPr>
              <w:autoSpaceDN/>
              <w:jc w:val="center"/>
              <w:rPr>
                <w:rFonts w:ascii="Times New Roman" w:hAnsi="Times New Roman" w:eastAsia="仿宋" w:cs="Times New Roman"/>
                <w:b/>
              </w:rPr>
            </w:pPr>
            <w:r>
              <w:rPr>
                <w:rFonts w:ascii="Times New Roman" w:hAnsi="Times New Roman" w:eastAsia="仿宋" w:cs="Times New Roman"/>
                <w:b/>
              </w:rPr>
              <w:t>实施年限</w:t>
            </w:r>
          </w:p>
        </w:tc>
        <w:tc>
          <w:tcPr>
            <w:tcW w:w="1238" w:type="dxa"/>
            <w:shd w:val="clear" w:color="auto" w:fill="D9D9D9"/>
            <w:noWrap/>
            <w:vAlign w:val="center"/>
          </w:tcPr>
          <w:p w14:paraId="33E047E5">
            <w:pPr>
              <w:autoSpaceDN/>
              <w:jc w:val="center"/>
              <w:rPr>
                <w:rFonts w:ascii="Times New Roman" w:hAnsi="Times New Roman" w:eastAsia="仿宋" w:cs="Times New Roman"/>
                <w:b/>
              </w:rPr>
            </w:pPr>
            <w:r>
              <w:rPr>
                <w:rFonts w:ascii="Times New Roman" w:hAnsi="Times New Roman" w:eastAsia="仿宋" w:cs="Times New Roman"/>
                <w:b/>
              </w:rPr>
              <w:t>投资概算</w:t>
            </w:r>
          </w:p>
          <w:p w14:paraId="3E32E15A">
            <w:pPr>
              <w:autoSpaceDN/>
              <w:jc w:val="center"/>
              <w:rPr>
                <w:rFonts w:ascii="Times New Roman" w:hAnsi="Times New Roman" w:eastAsia="仿宋" w:cs="Times New Roman"/>
                <w:b/>
              </w:rPr>
            </w:pPr>
            <w:r>
              <w:rPr>
                <w:rFonts w:ascii="Times New Roman" w:hAnsi="Times New Roman" w:eastAsia="仿宋" w:cs="Times New Roman"/>
                <w:b/>
              </w:rPr>
              <w:t>（亿元）</w:t>
            </w:r>
          </w:p>
        </w:tc>
        <w:tc>
          <w:tcPr>
            <w:tcW w:w="1275" w:type="dxa"/>
            <w:shd w:val="clear" w:color="auto" w:fill="D9D9D9"/>
            <w:vAlign w:val="center"/>
          </w:tcPr>
          <w:p w14:paraId="40FC0646">
            <w:pPr>
              <w:autoSpaceDN/>
              <w:jc w:val="center"/>
              <w:rPr>
                <w:rFonts w:ascii="Times New Roman" w:hAnsi="Times New Roman" w:eastAsia="仿宋" w:cs="Times New Roman"/>
                <w:b/>
              </w:rPr>
            </w:pPr>
            <w:r>
              <w:rPr>
                <w:rFonts w:ascii="Times New Roman" w:hAnsi="Times New Roman" w:eastAsia="仿宋" w:cs="Times New Roman"/>
                <w:b/>
              </w:rPr>
              <w:t>项目进展</w:t>
            </w:r>
          </w:p>
        </w:tc>
        <w:tc>
          <w:tcPr>
            <w:tcW w:w="1663" w:type="dxa"/>
            <w:shd w:val="clear" w:color="auto" w:fill="D9D9D9"/>
            <w:noWrap/>
            <w:vAlign w:val="center"/>
          </w:tcPr>
          <w:p w14:paraId="1F897756">
            <w:pPr>
              <w:autoSpaceDN/>
              <w:jc w:val="center"/>
              <w:rPr>
                <w:rFonts w:ascii="Times New Roman" w:hAnsi="Times New Roman" w:eastAsia="仿宋" w:cs="Times New Roman"/>
                <w:b/>
              </w:rPr>
            </w:pPr>
            <w:r>
              <w:rPr>
                <w:rFonts w:ascii="Times New Roman" w:hAnsi="Times New Roman" w:eastAsia="仿宋" w:cs="Times New Roman"/>
                <w:b/>
              </w:rPr>
              <w:t>责任单位</w:t>
            </w:r>
          </w:p>
        </w:tc>
      </w:tr>
      <w:tr w14:paraId="7246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9" w:type="dxa"/>
            <w:noWrap/>
            <w:vAlign w:val="center"/>
          </w:tcPr>
          <w:p w14:paraId="48843163">
            <w:pPr>
              <w:autoSpaceDN/>
              <w:jc w:val="center"/>
              <w:rPr>
                <w:rFonts w:ascii="Times New Roman" w:hAnsi="Times New Roman" w:eastAsia="仿宋" w:cs="Times New Roman"/>
              </w:rPr>
            </w:pPr>
            <w:bookmarkStart w:id="592" w:name="_Hlk176941936"/>
            <w:r>
              <w:rPr>
                <w:rFonts w:ascii="Times New Roman" w:hAnsi="Times New Roman" w:eastAsia="仿宋" w:cs="Times New Roman"/>
              </w:rPr>
              <w:t>1</w:t>
            </w:r>
          </w:p>
        </w:tc>
        <w:tc>
          <w:tcPr>
            <w:tcW w:w="2198" w:type="dxa"/>
            <w:noWrap/>
            <w:vAlign w:val="center"/>
          </w:tcPr>
          <w:p w14:paraId="267F4445">
            <w:pPr>
              <w:autoSpaceDN/>
              <w:jc w:val="center"/>
              <w:rPr>
                <w:rFonts w:ascii="Times New Roman" w:hAnsi="Times New Roman" w:eastAsia="仿宋" w:cs="Times New Roman"/>
                <w:b/>
                <w:bCs/>
                <w:lang w:eastAsia="zh-CN"/>
              </w:rPr>
            </w:pPr>
            <w:r>
              <w:rPr>
                <w:rFonts w:ascii="Times New Roman" w:hAnsi="Times New Roman" w:eastAsia="仿宋" w:cs="Times New Roman"/>
                <w:lang w:eastAsia="zh-CN"/>
              </w:rPr>
              <w:t>智能节水灌溉设备建设项目</w:t>
            </w:r>
          </w:p>
        </w:tc>
        <w:tc>
          <w:tcPr>
            <w:tcW w:w="4944" w:type="dxa"/>
            <w:noWrap/>
            <w:vAlign w:val="center"/>
          </w:tcPr>
          <w:p w14:paraId="7B6ACF2C">
            <w:pPr>
              <w:autoSpaceDN/>
              <w:jc w:val="center"/>
              <w:rPr>
                <w:rFonts w:ascii="Times New Roman" w:hAnsi="Times New Roman" w:eastAsia="仿宋" w:cs="Times New Roman"/>
                <w:lang w:eastAsia="zh-CN"/>
              </w:rPr>
            </w:pPr>
            <w:r>
              <w:rPr>
                <w:rFonts w:ascii="Times New Roman" w:hAnsi="Times New Roman" w:eastAsia="仿宋" w:cs="Times New Roman"/>
                <w:lang w:eastAsia="zh-CN"/>
              </w:rPr>
              <w:t>建设厂房，安装智能节水灌溉设备</w:t>
            </w:r>
          </w:p>
        </w:tc>
        <w:tc>
          <w:tcPr>
            <w:tcW w:w="1248" w:type="dxa"/>
            <w:noWrap/>
            <w:vAlign w:val="center"/>
          </w:tcPr>
          <w:p w14:paraId="4B9ACF75">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0D159ABE">
            <w:pPr>
              <w:autoSpaceDN/>
              <w:jc w:val="both"/>
              <w:rPr>
                <w:rFonts w:ascii="Times New Roman" w:hAnsi="Times New Roman" w:eastAsia="仿宋" w:cs="Times New Roman"/>
              </w:rPr>
            </w:pPr>
            <w:r>
              <w:rPr>
                <w:rFonts w:ascii="Times New Roman" w:hAnsi="Times New Roman" w:eastAsia="仿宋" w:cs="Times New Roman"/>
              </w:rPr>
              <w:t>2023-2025</w:t>
            </w:r>
          </w:p>
        </w:tc>
        <w:tc>
          <w:tcPr>
            <w:tcW w:w="1238" w:type="dxa"/>
            <w:noWrap/>
            <w:vAlign w:val="center"/>
          </w:tcPr>
          <w:p w14:paraId="10DE1955">
            <w:pPr>
              <w:autoSpaceDN/>
              <w:jc w:val="center"/>
              <w:rPr>
                <w:rFonts w:ascii="Times New Roman" w:hAnsi="Times New Roman" w:eastAsia="仿宋" w:cs="Times New Roman"/>
              </w:rPr>
            </w:pPr>
            <w:r>
              <w:rPr>
                <w:rFonts w:ascii="Times New Roman" w:hAnsi="Times New Roman" w:eastAsia="仿宋" w:cs="Times New Roman"/>
              </w:rPr>
              <w:t>0.500</w:t>
            </w:r>
          </w:p>
        </w:tc>
        <w:tc>
          <w:tcPr>
            <w:tcW w:w="1275" w:type="dxa"/>
            <w:vAlign w:val="center"/>
          </w:tcPr>
          <w:p w14:paraId="337E8F19">
            <w:pPr>
              <w:autoSpaceDN/>
              <w:jc w:val="center"/>
              <w:rPr>
                <w:rFonts w:ascii="Times New Roman" w:hAnsi="Times New Roman" w:eastAsia="仿宋" w:cs="Times New Roman"/>
              </w:rPr>
            </w:pPr>
            <w:bookmarkStart w:id="593" w:name="OLE_LINK372"/>
            <w:bookmarkStart w:id="594" w:name="OLE_LINK373"/>
            <w:r>
              <w:rPr>
                <w:rFonts w:ascii="Times New Roman" w:hAnsi="Times New Roman" w:eastAsia="仿宋" w:cs="Times New Roman"/>
              </w:rPr>
              <w:t>正在</w:t>
            </w:r>
            <w:bookmarkStart w:id="595" w:name="OLE_LINK370"/>
            <w:bookmarkStart w:id="596" w:name="OLE_LINK371"/>
            <w:r>
              <w:rPr>
                <w:rFonts w:ascii="Times New Roman" w:hAnsi="Times New Roman" w:eastAsia="仿宋" w:cs="Times New Roman"/>
              </w:rPr>
              <w:t>实施</w:t>
            </w:r>
            <w:bookmarkEnd w:id="593"/>
            <w:bookmarkEnd w:id="594"/>
            <w:bookmarkEnd w:id="595"/>
            <w:bookmarkEnd w:id="596"/>
          </w:p>
        </w:tc>
        <w:tc>
          <w:tcPr>
            <w:tcW w:w="1663" w:type="dxa"/>
            <w:noWrap/>
            <w:vAlign w:val="center"/>
          </w:tcPr>
          <w:p w14:paraId="54DCC775">
            <w:pPr>
              <w:autoSpaceDN/>
              <w:jc w:val="center"/>
              <w:rPr>
                <w:rFonts w:ascii="Times New Roman" w:hAnsi="Times New Roman" w:eastAsia="仿宋" w:cs="Times New Roman"/>
                <w:lang w:eastAsia="zh-CN"/>
              </w:rPr>
            </w:pPr>
            <w:r>
              <w:rPr>
                <w:rFonts w:ascii="Times New Roman" w:hAnsi="Times New Roman" w:eastAsia="仿宋" w:cs="Times New Roman"/>
              </w:rPr>
              <w:t>翁牛特旗</w:t>
            </w:r>
          </w:p>
          <w:p w14:paraId="194474EC">
            <w:pPr>
              <w:autoSpaceDN/>
              <w:jc w:val="center"/>
              <w:rPr>
                <w:rFonts w:ascii="Times New Roman" w:hAnsi="Times New Roman" w:eastAsia="仿宋" w:cs="Times New Roman"/>
              </w:rPr>
            </w:pPr>
            <w:r>
              <w:rPr>
                <w:rFonts w:ascii="Times New Roman" w:hAnsi="Times New Roman" w:eastAsia="仿宋" w:cs="Times New Roman"/>
              </w:rPr>
              <w:t>水利局</w:t>
            </w:r>
          </w:p>
        </w:tc>
      </w:tr>
      <w:tr w14:paraId="2CDE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79" w:type="dxa"/>
            <w:noWrap/>
            <w:vAlign w:val="center"/>
          </w:tcPr>
          <w:p w14:paraId="0A96A8BE">
            <w:pPr>
              <w:autoSpaceDN/>
              <w:jc w:val="center"/>
              <w:rPr>
                <w:rFonts w:ascii="Times New Roman" w:hAnsi="Times New Roman" w:eastAsia="仿宋" w:cs="Times New Roman"/>
              </w:rPr>
            </w:pPr>
            <w:r>
              <w:rPr>
                <w:rFonts w:ascii="Times New Roman" w:hAnsi="Times New Roman" w:eastAsia="仿宋" w:cs="Times New Roman"/>
              </w:rPr>
              <w:t>2</w:t>
            </w:r>
          </w:p>
        </w:tc>
        <w:tc>
          <w:tcPr>
            <w:tcW w:w="2198" w:type="dxa"/>
            <w:noWrap/>
            <w:vAlign w:val="center"/>
          </w:tcPr>
          <w:p w14:paraId="50D4291C">
            <w:pPr>
              <w:autoSpaceDN/>
              <w:jc w:val="center"/>
              <w:rPr>
                <w:rFonts w:ascii="Times New Roman" w:hAnsi="Times New Roman" w:eastAsia="仿宋" w:cs="Times New Roman"/>
                <w:lang w:eastAsia="zh-CN"/>
              </w:rPr>
            </w:pPr>
            <w:r>
              <w:rPr>
                <w:rFonts w:ascii="Times New Roman" w:hAnsi="Times New Roman" w:eastAsia="仿宋" w:cs="Times New Roman"/>
                <w:lang w:eastAsia="zh-CN"/>
              </w:rPr>
              <w:t>大石门水库东台子水库赤峰中心城区引供水工程项目</w:t>
            </w:r>
          </w:p>
        </w:tc>
        <w:tc>
          <w:tcPr>
            <w:tcW w:w="4944" w:type="dxa"/>
            <w:noWrap/>
            <w:vAlign w:val="center"/>
          </w:tcPr>
          <w:p w14:paraId="7639F7D4">
            <w:pPr>
              <w:autoSpaceDN/>
              <w:jc w:val="both"/>
              <w:rPr>
                <w:rFonts w:ascii="Times New Roman" w:hAnsi="Times New Roman" w:eastAsia="仿宋" w:cs="Times New Roman"/>
                <w:lang w:eastAsia="zh-CN"/>
              </w:rPr>
            </w:pPr>
            <w:r>
              <w:rPr>
                <w:rFonts w:ascii="Times New Roman" w:hAnsi="Times New Roman" w:eastAsia="仿宋" w:cs="Times New Roman"/>
                <w:lang w:eastAsia="zh-CN"/>
              </w:rPr>
              <w:t>从东台子水库重力坝段引水至净水厂，净化后经提水泵站加压，沿途经过翁牛特旗、松山区、红山区，至终点为拟建红庙子净水厂结束。供水线路距离总长约184公里，年引水量约5393万立方米</w:t>
            </w:r>
          </w:p>
        </w:tc>
        <w:tc>
          <w:tcPr>
            <w:tcW w:w="1248" w:type="dxa"/>
            <w:noWrap/>
            <w:vAlign w:val="center"/>
          </w:tcPr>
          <w:p w14:paraId="28E565FF">
            <w:pPr>
              <w:autoSpaceDN/>
              <w:jc w:val="center"/>
              <w:rPr>
                <w:rFonts w:ascii="Times New Roman" w:hAnsi="Times New Roman" w:eastAsia="仿宋" w:cs="Times New Roman"/>
              </w:rPr>
            </w:pPr>
            <w:r>
              <w:rPr>
                <w:rFonts w:ascii="Times New Roman" w:hAnsi="Times New Roman" w:eastAsia="仿宋" w:cs="Times New Roman"/>
              </w:rPr>
              <w:t>大石门水库等</w:t>
            </w:r>
          </w:p>
        </w:tc>
        <w:tc>
          <w:tcPr>
            <w:tcW w:w="1359" w:type="dxa"/>
            <w:noWrap/>
            <w:vAlign w:val="center"/>
          </w:tcPr>
          <w:p w14:paraId="0386A35C">
            <w:pPr>
              <w:autoSpaceDN/>
              <w:jc w:val="both"/>
              <w:rPr>
                <w:rFonts w:ascii="Times New Roman" w:hAnsi="Times New Roman" w:eastAsia="仿宋" w:cs="Times New Roman"/>
              </w:rPr>
            </w:pPr>
            <w:r>
              <w:rPr>
                <w:rFonts w:ascii="Times New Roman" w:hAnsi="Times New Roman" w:eastAsia="仿宋" w:cs="Times New Roman"/>
              </w:rPr>
              <w:t>2024-2027</w:t>
            </w:r>
          </w:p>
        </w:tc>
        <w:tc>
          <w:tcPr>
            <w:tcW w:w="1238" w:type="dxa"/>
            <w:noWrap/>
            <w:vAlign w:val="center"/>
          </w:tcPr>
          <w:p w14:paraId="5F35AAFB">
            <w:pPr>
              <w:autoSpaceDN/>
              <w:jc w:val="center"/>
              <w:rPr>
                <w:rFonts w:ascii="Times New Roman" w:hAnsi="Times New Roman" w:eastAsia="仿宋" w:cs="Times New Roman"/>
              </w:rPr>
            </w:pPr>
            <w:r>
              <w:rPr>
                <w:rFonts w:ascii="Times New Roman" w:hAnsi="Times New Roman" w:eastAsia="仿宋" w:cs="Times New Roman"/>
              </w:rPr>
              <w:t>29.000</w:t>
            </w:r>
          </w:p>
        </w:tc>
        <w:tc>
          <w:tcPr>
            <w:tcW w:w="1275" w:type="dxa"/>
            <w:vAlign w:val="center"/>
          </w:tcPr>
          <w:p w14:paraId="28ED3F9E">
            <w:pPr>
              <w:autoSpaceDN/>
              <w:jc w:val="center"/>
              <w:rPr>
                <w:rFonts w:ascii="Times New Roman" w:hAnsi="Times New Roman" w:eastAsia="仿宋" w:cs="Times New Roman"/>
              </w:rPr>
            </w:pPr>
            <w:r>
              <w:rPr>
                <w:rFonts w:ascii="Times New Roman" w:hAnsi="Times New Roman" w:eastAsia="仿宋" w:cs="Times New Roman"/>
              </w:rPr>
              <w:t>计划实施</w:t>
            </w:r>
          </w:p>
        </w:tc>
        <w:tc>
          <w:tcPr>
            <w:tcW w:w="1663" w:type="dxa"/>
            <w:noWrap/>
            <w:vAlign w:val="center"/>
          </w:tcPr>
          <w:p w14:paraId="184DF773">
            <w:pPr>
              <w:autoSpaceDN/>
              <w:jc w:val="center"/>
              <w:rPr>
                <w:rFonts w:ascii="Times New Roman" w:hAnsi="Times New Roman" w:eastAsia="仿宋" w:cs="Times New Roman"/>
                <w:lang w:eastAsia="zh-CN"/>
              </w:rPr>
            </w:pPr>
            <w:r>
              <w:rPr>
                <w:rFonts w:ascii="Times New Roman" w:hAnsi="Times New Roman" w:eastAsia="仿宋" w:cs="Times New Roman"/>
              </w:rPr>
              <w:t>翁牛特旗</w:t>
            </w:r>
          </w:p>
          <w:p w14:paraId="30AE6179">
            <w:pPr>
              <w:autoSpaceDN/>
              <w:jc w:val="center"/>
              <w:rPr>
                <w:rFonts w:ascii="Times New Roman" w:hAnsi="Times New Roman" w:eastAsia="仿宋" w:cs="Times New Roman"/>
              </w:rPr>
            </w:pPr>
            <w:r>
              <w:rPr>
                <w:rFonts w:ascii="Times New Roman" w:hAnsi="Times New Roman" w:eastAsia="仿宋" w:cs="Times New Roman"/>
              </w:rPr>
              <w:t>水利局</w:t>
            </w:r>
          </w:p>
        </w:tc>
      </w:tr>
      <w:tr w14:paraId="3891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79" w:type="dxa"/>
            <w:noWrap/>
            <w:vAlign w:val="center"/>
          </w:tcPr>
          <w:p w14:paraId="61899A8F">
            <w:pPr>
              <w:autoSpaceDN/>
              <w:jc w:val="center"/>
              <w:rPr>
                <w:rFonts w:ascii="Times New Roman" w:hAnsi="Times New Roman" w:eastAsia="仿宋" w:cs="Times New Roman"/>
              </w:rPr>
            </w:pPr>
            <w:r>
              <w:rPr>
                <w:rFonts w:ascii="Times New Roman" w:hAnsi="Times New Roman" w:eastAsia="仿宋" w:cs="Times New Roman"/>
              </w:rPr>
              <w:t>3</w:t>
            </w:r>
          </w:p>
        </w:tc>
        <w:tc>
          <w:tcPr>
            <w:tcW w:w="2198" w:type="dxa"/>
            <w:noWrap/>
            <w:vAlign w:val="center"/>
          </w:tcPr>
          <w:p w14:paraId="76FB4F11">
            <w:pPr>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翁牛特旗环卫一体化建设项目</w:t>
            </w:r>
          </w:p>
        </w:tc>
        <w:tc>
          <w:tcPr>
            <w:tcW w:w="4944" w:type="dxa"/>
            <w:noWrap/>
            <w:vAlign w:val="center"/>
          </w:tcPr>
          <w:p w14:paraId="22152754">
            <w:pPr>
              <w:autoSpaceDN/>
              <w:jc w:val="both"/>
              <w:rPr>
                <w:rFonts w:ascii="Times New Roman" w:hAnsi="Times New Roman" w:eastAsia="仿宋" w:cs="Times New Roman"/>
                <w:lang w:eastAsia="zh-CN"/>
              </w:rPr>
            </w:pPr>
            <w:r>
              <w:rPr>
                <w:rFonts w:ascii="Times New Roman" w:hAnsi="Times New Roman" w:eastAsia="仿宋" w:cs="Times New Roman"/>
                <w:lang w:eastAsia="zh-CN"/>
              </w:rPr>
              <w:t>将乌丹城区城市道路、公共场所的清扫保洁及外环以内100平方公里范围内的垃圾收集清运处理作业交由专业队伍实施，完善城区城市基础设施</w:t>
            </w:r>
          </w:p>
        </w:tc>
        <w:tc>
          <w:tcPr>
            <w:tcW w:w="1248" w:type="dxa"/>
            <w:noWrap/>
            <w:vAlign w:val="center"/>
          </w:tcPr>
          <w:p w14:paraId="20928793">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3067E5E0">
            <w:pPr>
              <w:autoSpaceDN/>
              <w:jc w:val="both"/>
              <w:rPr>
                <w:rFonts w:ascii="Times New Roman" w:hAnsi="Times New Roman" w:eastAsia="仿宋" w:cs="Times New Roman"/>
              </w:rPr>
            </w:pPr>
            <w:r>
              <w:rPr>
                <w:rFonts w:ascii="Times New Roman" w:hAnsi="Times New Roman" w:eastAsia="仿宋" w:cs="Times New Roman"/>
              </w:rPr>
              <w:t>2023-2025</w:t>
            </w:r>
          </w:p>
        </w:tc>
        <w:tc>
          <w:tcPr>
            <w:tcW w:w="1238" w:type="dxa"/>
            <w:noWrap/>
            <w:vAlign w:val="center"/>
          </w:tcPr>
          <w:p w14:paraId="1CEA8331">
            <w:pPr>
              <w:autoSpaceDN/>
              <w:jc w:val="center"/>
              <w:rPr>
                <w:rFonts w:ascii="Times New Roman" w:hAnsi="Times New Roman" w:eastAsia="仿宋" w:cs="Times New Roman"/>
              </w:rPr>
            </w:pPr>
            <w:r>
              <w:rPr>
                <w:rFonts w:ascii="Times New Roman" w:hAnsi="Times New Roman" w:eastAsia="仿宋" w:cs="Times New Roman"/>
              </w:rPr>
              <w:t>1.500</w:t>
            </w:r>
          </w:p>
        </w:tc>
        <w:tc>
          <w:tcPr>
            <w:tcW w:w="1275" w:type="dxa"/>
            <w:vAlign w:val="center"/>
          </w:tcPr>
          <w:p w14:paraId="6BB7A6D8">
            <w:pPr>
              <w:autoSpaceDN/>
              <w:jc w:val="center"/>
              <w:rPr>
                <w:rFonts w:ascii="Times New Roman" w:hAnsi="Times New Roman" w:eastAsia="仿宋" w:cs="Times New Roman"/>
              </w:rPr>
            </w:pPr>
            <w:r>
              <w:rPr>
                <w:rFonts w:ascii="Times New Roman" w:hAnsi="Times New Roman" w:eastAsia="仿宋" w:cs="Times New Roman"/>
              </w:rPr>
              <w:t>正在实施</w:t>
            </w:r>
          </w:p>
        </w:tc>
        <w:tc>
          <w:tcPr>
            <w:tcW w:w="1663" w:type="dxa"/>
            <w:noWrap/>
            <w:vAlign w:val="center"/>
          </w:tcPr>
          <w:p w14:paraId="7F88A793">
            <w:pPr>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翁牛特旗城市管理综合行政执法局</w:t>
            </w:r>
          </w:p>
        </w:tc>
      </w:tr>
      <w:tr w14:paraId="400E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79" w:type="dxa"/>
            <w:noWrap/>
            <w:vAlign w:val="center"/>
          </w:tcPr>
          <w:p w14:paraId="4541DB4D">
            <w:pPr>
              <w:autoSpaceDN/>
              <w:jc w:val="center"/>
              <w:rPr>
                <w:rFonts w:ascii="Times New Roman" w:hAnsi="Times New Roman" w:eastAsia="仿宋" w:cs="Times New Roman"/>
              </w:rPr>
            </w:pPr>
            <w:r>
              <w:rPr>
                <w:rFonts w:ascii="Times New Roman" w:hAnsi="Times New Roman" w:eastAsia="仿宋" w:cs="Times New Roman"/>
              </w:rPr>
              <w:t>4</w:t>
            </w:r>
          </w:p>
        </w:tc>
        <w:tc>
          <w:tcPr>
            <w:tcW w:w="2198" w:type="dxa"/>
            <w:noWrap/>
            <w:vAlign w:val="center"/>
          </w:tcPr>
          <w:p w14:paraId="76BC001E">
            <w:pPr>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翁牛特旗餐厨垃圾处理项目</w:t>
            </w:r>
          </w:p>
        </w:tc>
        <w:tc>
          <w:tcPr>
            <w:tcW w:w="4944" w:type="dxa"/>
            <w:noWrap/>
            <w:vAlign w:val="center"/>
          </w:tcPr>
          <w:p w14:paraId="255D822D">
            <w:pPr>
              <w:autoSpaceDN/>
              <w:jc w:val="both"/>
              <w:rPr>
                <w:rFonts w:ascii="Times New Roman" w:hAnsi="Times New Roman" w:eastAsia="仿宋" w:cs="Times New Roman"/>
                <w:lang w:eastAsia="zh-CN"/>
              </w:rPr>
            </w:pPr>
            <w:r>
              <w:rPr>
                <w:rFonts w:ascii="Times New Roman" w:hAnsi="Times New Roman" w:eastAsia="仿宋" w:cs="Times New Roman"/>
                <w:lang w:eastAsia="zh-CN"/>
              </w:rPr>
              <w:t>拟建餐厨垃圾处理厂1座，处理象为餐厨废弃物，一期餐厨垃圾处置30t/d；二期厨余垃圾处置50t/d，占地约50亩</w:t>
            </w:r>
          </w:p>
        </w:tc>
        <w:tc>
          <w:tcPr>
            <w:tcW w:w="1248" w:type="dxa"/>
            <w:noWrap/>
            <w:vAlign w:val="center"/>
          </w:tcPr>
          <w:p w14:paraId="0F57B4D1">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32C07FCE">
            <w:pPr>
              <w:autoSpaceDN/>
              <w:jc w:val="both"/>
              <w:rPr>
                <w:rFonts w:ascii="Times New Roman" w:hAnsi="Times New Roman" w:eastAsia="仿宋" w:cs="Times New Roman"/>
              </w:rPr>
            </w:pPr>
            <w:r>
              <w:rPr>
                <w:rFonts w:ascii="Times New Roman" w:hAnsi="Times New Roman" w:eastAsia="仿宋" w:cs="Times New Roman"/>
              </w:rPr>
              <w:t>2023-2025</w:t>
            </w:r>
          </w:p>
        </w:tc>
        <w:tc>
          <w:tcPr>
            <w:tcW w:w="1238" w:type="dxa"/>
            <w:noWrap/>
            <w:vAlign w:val="center"/>
          </w:tcPr>
          <w:p w14:paraId="1DF3DF6C">
            <w:pPr>
              <w:autoSpaceDN/>
              <w:jc w:val="center"/>
              <w:rPr>
                <w:rFonts w:ascii="Times New Roman" w:hAnsi="Times New Roman" w:eastAsia="仿宋" w:cs="Times New Roman"/>
              </w:rPr>
            </w:pPr>
            <w:r>
              <w:rPr>
                <w:rFonts w:ascii="Times New Roman" w:hAnsi="Times New Roman" w:eastAsia="仿宋" w:cs="Times New Roman"/>
              </w:rPr>
              <w:t>0.500</w:t>
            </w:r>
          </w:p>
        </w:tc>
        <w:tc>
          <w:tcPr>
            <w:tcW w:w="1275" w:type="dxa"/>
            <w:vAlign w:val="center"/>
          </w:tcPr>
          <w:p w14:paraId="2FCF070E">
            <w:pPr>
              <w:autoSpaceDN/>
              <w:jc w:val="center"/>
              <w:rPr>
                <w:rFonts w:ascii="Times New Roman" w:hAnsi="Times New Roman" w:eastAsia="仿宋" w:cs="Times New Roman"/>
              </w:rPr>
            </w:pPr>
            <w:r>
              <w:rPr>
                <w:rFonts w:ascii="Times New Roman" w:hAnsi="Times New Roman" w:eastAsia="仿宋" w:cs="Times New Roman"/>
              </w:rPr>
              <w:t>正在实施</w:t>
            </w:r>
          </w:p>
        </w:tc>
        <w:tc>
          <w:tcPr>
            <w:tcW w:w="1663" w:type="dxa"/>
            <w:noWrap/>
            <w:vAlign w:val="center"/>
          </w:tcPr>
          <w:p w14:paraId="344E6F3D">
            <w:pPr>
              <w:autoSpaceDN/>
              <w:jc w:val="center"/>
              <w:rPr>
                <w:rFonts w:ascii="Times New Roman" w:hAnsi="Times New Roman" w:eastAsia="仿宋" w:cs="Times New Roman"/>
                <w:lang w:eastAsia="zh-CN"/>
              </w:rPr>
            </w:pPr>
            <w:r>
              <w:rPr>
                <w:rFonts w:ascii="Times New Roman" w:hAnsi="Times New Roman" w:eastAsia="仿宋" w:cs="Times New Roman"/>
                <w:lang w:eastAsia="zh-CN"/>
              </w:rPr>
              <w:t>翁牛特旗城市管理综合行政执法局</w:t>
            </w:r>
          </w:p>
        </w:tc>
      </w:tr>
      <w:tr w14:paraId="64CB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79" w:type="dxa"/>
            <w:noWrap/>
            <w:vAlign w:val="center"/>
          </w:tcPr>
          <w:p w14:paraId="01575264">
            <w:pPr>
              <w:autoSpaceDN/>
              <w:jc w:val="center"/>
              <w:rPr>
                <w:rFonts w:ascii="Times New Roman" w:hAnsi="Times New Roman" w:eastAsia="仿宋" w:cs="Times New Roman"/>
              </w:rPr>
            </w:pPr>
            <w:r>
              <w:rPr>
                <w:rFonts w:ascii="Times New Roman" w:hAnsi="Times New Roman" w:eastAsia="仿宋" w:cs="Times New Roman"/>
              </w:rPr>
              <w:t>5</w:t>
            </w:r>
          </w:p>
        </w:tc>
        <w:tc>
          <w:tcPr>
            <w:tcW w:w="2198" w:type="dxa"/>
            <w:noWrap/>
            <w:vAlign w:val="center"/>
          </w:tcPr>
          <w:p w14:paraId="0E00717D">
            <w:pPr>
              <w:autoSpaceDN/>
              <w:jc w:val="both"/>
              <w:rPr>
                <w:rFonts w:ascii="Times New Roman" w:hAnsi="Times New Roman" w:eastAsia="仿宋" w:cs="Times New Roman"/>
                <w:spacing w:val="-16"/>
                <w:lang w:eastAsia="zh-CN"/>
              </w:rPr>
            </w:pPr>
            <w:r>
              <w:rPr>
                <w:rFonts w:ascii="Times New Roman" w:hAnsi="Times New Roman" w:eastAsia="仿宋" w:cs="Times New Roman"/>
                <w:spacing w:val="-16"/>
                <w:lang w:eastAsia="zh-CN"/>
              </w:rPr>
              <w:t>翁牛特旗人居环境整治垃圾处理、污水治理项目</w:t>
            </w:r>
          </w:p>
        </w:tc>
        <w:tc>
          <w:tcPr>
            <w:tcW w:w="4944" w:type="dxa"/>
            <w:noWrap/>
            <w:vAlign w:val="center"/>
          </w:tcPr>
          <w:p w14:paraId="420E93DD">
            <w:pPr>
              <w:autoSpaceDN/>
              <w:jc w:val="both"/>
              <w:rPr>
                <w:rFonts w:ascii="Times New Roman" w:hAnsi="Times New Roman" w:eastAsia="仿宋" w:cs="Times New Roman"/>
                <w:lang w:eastAsia="zh-CN"/>
              </w:rPr>
            </w:pPr>
            <w:r>
              <w:rPr>
                <w:rFonts w:ascii="Times New Roman" w:hAnsi="Times New Roman" w:eastAsia="仿宋" w:cs="Times New Roman"/>
                <w:lang w:eastAsia="zh-CN"/>
              </w:rPr>
              <w:t>推行农村牧区垃圾分类处理，稳步提升减量化、资源化、无害化和综合利用水平，大力建设完善垃圾处理基础设施。</w:t>
            </w:r>
          </w:p>
        </w:tc>
        <w:tc>
          <w:tcPr>
            <w:tcW w:w="1248" w:type="dxa"/>
            <w:noWrap/>
            <w:vAlign w:val="center"/>
          </w:tcPr>
          <w:p w14:paraId="444B6741">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1BC5023B">
            <w:pPr>
              <w:autoSpaceDN/>
              <w:jc w:val="both"/>
              <w:rPr>
                <w:rFonts w:ascii="Times New Roman" w:hAnsi="Times New Roman" w:eastAsia="仿宋" w:cs="Times New Roman"/>
              </w:rPr>
            </w:pPr>
            <w:r>
              <w:rPr>
                <w:rFonts w:ascii="Times New Roman" w:hAnsi="Times New Roman" w:eastAsia="仿宋" w:cs="Times New Roman"/>
              </w:rPr>
              <w:t>2023-2025</w:t>
            </w:r>
          </w:p>
        </w:tc>
        <w:tc>
          <w:tcPr>
            <w:tcW w:w="1238" w:type="dxa"/>
            <w:noWrap/>
            <w:vAlign w:val="center"/>
          </w:tcPr>
          <w:p w14:paraId="6FF34E33">
            <w:pPr>
              <w:jc w:val="center"/>
              <w:textAlignment w:val="center"/>
              <w:rPr>
                <w:rFonts w:ascii="Times New Roman" w:hAnsi="Times New Roman" w:eastAsia="仿宋" w:cs="Times New Roman"/>
              </w:rPr>
            </w:pPr>
            <w:r>
              <w:rPr>
                <w:rFonts w:ascii="Times New Roman" w:hAnsi="Times New Roman" w:eastAsia="仿宋" w:cs="Times New Roman"/>
              </w:rPr>
              <w:t>1.000</w:t>
            </w:r>
          </w:p>
        </w:tc>
        <w:tc>
          <w:tcPr>
            <w:tcW w:w="1275" w:type="dxa"/>
            <w:vAlign w:val="center"/>
          </w:tcPr>
          <w:p w14:paraId="640BE047">
            <w:pPr>
              <w:autoSpaceDN/>
              <w:jc w:val="center"/>
              <w:rPr>
                <w:rFonts w:ascii="Times New Roman" w:hAnsi="Times New Roman" w:eastAsia="仿宋" w:cs="Times New Roman"/>
              </w:rPr>
            </w:pPr>
            <w:r>
              <w:rPr>
                <w:rFonts w:ascii="Times New Roman" w:hAnsi="Times New Roman" w:eastAsia="仿宋" w:cs="Times New Roman"/>
              </w:rPr>
              <w:t>正在实施</w:t>
            </w:r>
          </w:p>
        </w:tc>
        <w:tc>
          <w:tcPr>
            <w:tcW w:w="1663" w:type="dxa"/>
            <w:vMerge w:val="restart"/>
            <w:noWrap/>
            <w:vAlign w:val="center"/>
          </w:tcPr>
          <w:p w14:paraId="36A7F769">
            <w:pPr>
              <w:autoSpaceDN/>
              <w:jc w:val="center"/>
              <w:rPr>
                <w:rFonts w:ascii="Times New Roman" w:hAnsi="Times New Roman" w:eastAsia="仿宋" w:cs="Times New Roman"/>
                <w:lang w:eastAsia="zh-CN"/>
              </w:rPr>
            </w:pPr>
            <w:r>
              <w:rPr>
                <w:rFonts w:ascii="Times New Roman" w:hAnsi="Times New Roman" w:eastAsia="仿宋" w:cs="Times New Roman"/>
                <w:lang w:eastAsia="zh-CN"/>
              </w:rPr>
              <w:t>赤峰市生态环境局翁牛特旗分局</w:t>
            </w:r>
            <w:r>
              <w:rPr>
                <w:rFonts w:hint="eastAsia" w:ascii="Times New Roman" w:hAnsi="Times New Roman" w:eastAsia="仿宋" w:cs="Times New Roman"/>
                <w:lang w:eastAsia="zh-CN"/>
              </w:rPr>
              <w:t>、翁牛特旗农牧业局、翁牛特旗城市管理综合行政执法局</w:t>
            </w:r>
          </w:p>
        </w:tc>
      </w:tr>
      <w:tr w14:paraId="320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79" w:type="dxa"/>
            <w:noWrap/>
            <w:vAlign w:val="center"/>
          </w:tcPr>
          <w:p w14:paraId="62BE7575">
            <w:pPr>
              <w:autoSpaceDN/>
              <w:jc w:val="center"/>
              <w:rPr>
                <w:rFonts w:ascii="Times New Roman" w:hAnsi="Times New Roman" w:eastAsia="仿宋" w:cs="Times New Roman"/>
              </w:rPr>
            </w:pPr>
            <w:r>
              <w:rPr>
                <w:rFonts w:ascii="Times New Roman" w:hAnsi="Times New Roman" w:eastAsia="仿宋" w:cs="Times New Roman"/>
              </w:rPr>
              <w:t>6</w:t>
            </w:r>
          </w:p>
        </w:tc>
        <w:tc>
          <w:tcPr>
            <w:tcW w:w="2198" w:type="dxa"/>
            <w:noWrap/>
            <w:vAlign w:val="center"/>
          </w:tcPr>
          <w:p w14:paraId="3FACE584">
            <w:pPr>
              <w:autoSpaceDN/>
              <w:jc w:val="center"/>
              <w:rPr>
                <w:rFonts w:ascii="Times New Roman" w:hAnsi="Times New Roman" w:eastAsia="仿宋" w:cs="Times New Roman"/>
                <w:lang w:eastAsia="zh-CN"/>
              </w:rPr>
            </w:pPr>
            <w:r>
              <w:rPr>
                <w:rFonts w:ascii="Times New Roman" w:hAnsi="Times New Roman" w:eastAsia="仿宋" w:cs="Times New Roman"/>
                <w:lang w:eastAsia="zh-CN"/>
              </w:rPr>
              <w:t>赤峰市翁牛特旗建筑垃圾填埋场建设项目</w:t>
            </w:r>
          </w:p>
        </w:tc>
        <w:tc>
          <w:tcPr>
            <w:tcW w:w="4944" w:type="dxa"/>
            <w:noWrap/>
            <w:vAlign w:val="center"/>
          </w:tcPr>
          <w:p w14:paraId="66EDD4E3">
            <w:pPr>
              <w:autoSpaceDN/>
              <w:jc w:val="center"/>
              <w:rPr>
                <w:rFonts w:ascii="Times New Roman" w:hAnsi="Times New Roman" w:eastAsia="仿宋" w:cs="Times New Roman"/>
                <w:lang w:eastAsia="zh-CN"/>
              </w:rPr>
            </w:pPr>
            <w:r>
              <w:rPr>
                <w:rFonts w:ascii="Times New Roman" w:hAnsi="Times New Roman" w:eastAsia="仿宋" w:cs="Times New Roman"/>
                <w:lang w:eastAsia="zh-CN"/>
              </w:rPr>
              <w:t>项目总用地约350亩，填埋区库容200万立方米。</w:t>
            </w:r>
          </w:p>
        </w:tc>
        <w:tc>
          <w:tcPr>
            <w:tcW w:w="1248" w:type="dxa"/>
            <w:noWrap/>
            <w:vAlign w:val="center"/>
          </w:tcPr>
          <w:p w14:paraId="4D0D03CC">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07578234">
            <w:pPr>
              <w:jc w:val="both"/>
              <w:textAlignment w:val="center"/>
              <w:rPr>
                <w:rFonts w:ascii="Times New Roman" w:hAnsi="Times New Roman" w:eastAsia="仿宋" w:cs="Times New Roman"/>
              </w:rPr>
            </w:pPr>
            <w:r>
              <w:rPr>
                <w:rFonts w:ascii="Times New Roman" w:hAnsi="Times New Roman" w:eastAsia="仿宋" w:cs="Times New Roman"/>
              </w:rPr>
              <w:t>2023-2025</w:t>
            </w:r>
          </w:p>
        </w:tc>
        <w:tc>
          <w:tcPr>
            <w:tcW w:w="1238" w:type="dxa"/>
            <w:noWrap/>
            <w:vAlign w:val="center"/>
          </w:tcPr>
          <w:p w14:paraId="432AB73E">
            <w:pPr>
              <w:jc w:val="center"/>
              <w:textAlignment w:val="center"/>
              <w:rPr>
                <w:rFonts w:ascii="Times New Roman" w:hAnsi="Times New Roman" w:eastAsia="仿宋" w:cs="Times New Roman"/>
              </w:rPr>
            </w:pPr>
            <w:r>
              <w:rPr>
                <w:rFonts w:ascii="Times New Roman" w:hAnsi="Times New Roman" w:eastAsia="仿宋" w:cs="Times New Roman"/>
              </w:rPr>
              <w:t>1.100</w:t>
            </w:r>
          </w:p>
        </w:tc>
        <w:tc>
          <w:tcPr>
            <w:tcW w:w="1275" w:type="dxa"/>
            <w:vAlign w:val="center"/>
          </w:tcPr>
          <w:p w14:paraId="58C4A1C2">
            <w:pPr>
              <w:autoSpaceDN/>
              <w:jc w:val="center"/>
              <w:rPr>
                <w:rFonts w:ascii="Times New Roman" w:hAnsi="Times New Roman" w:eastAsia="仿宋" w:cs="Times New Roman"/>
              </w:rPr>
            </w:pPr>
            <w:r>
              <w:rPr>
                <w:rFonts w:ascii="Times New Roman" w:hAnsi="Times New Roman" w:eastAsia="仿宋" w:cs="Times New Roman"/>
              </w:rPr>
              <w:t>正在实施</w:t>
            </w:r>
          </w:p>
        </w:tc>
        <w:tc>
          <w:tcPr>
            <w:tcW w:w="1663" w:type="dxa"/>
            <w:vMerge w:val="continue"/>
            <w:noWrap/>
            <w:vAlign w:val="center"/>
          </w:tcPr>
          <w:p w14:paraId="0A7E8052">
            <w:pPr>
              <w:autoSpaceDN/>
              <w:jc w:val="center"/>
              <w:rPr>
                <w:rFonts w:ascii="Times New Roman" w:hAnsi="Times New Roman" w:eastAsia="仿宋" w:cs="Times New Roman"/>
              </w:rPr>
            </w:pPr>
          </w:p>
        </w:tc>
      </w:tr>
      <w:tr w14:paraId="20C0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79" w:type="dxa"/>
            <w:noWrap/>
            <w:vAlign w:val="center"/>
          </w:tcPr>
          <w:p w14:paraId="4DB606E8">
            <w:pPr>
              <w:autoSpaceDN/>
              <w:jc w:val="center"/>
              <w:rPr>
                <w:rFonts w:ascii="Times New Roman" w:hAnsi="Times New Roman" w:eastAsia="仿宋" w:cs="Times New Roman"/>
              </w:rPr>
            </w:pPr>
            <w:r>
              <w:rPr>
                <w:rFonts w:ascii="Times New Roman" w:hAnsi="Times New Roman" w:eastAsia="仿宋" w:cs="Times New Roman"/>
              </w:rPr>
              <w:t>7</w:t>
            </w:r>
          </w:p>
        </w:tc>
        <w:tc>
          <w:tcPr>
            <w:tcW w:w="2198" w:type="dxa"/>
            <w:noWrap/>
            <w:vAlign w:val="center"/>
          </w:tcPr>
          <w:p w14:paraId="5B33C06E">
            <w:pPr>
              <w:autoSpaceDN/>
              <w:jc w:val="center"/>
              <w:rPr>
                <w:rFonts w:ascii="Times New Roman" w:hAnsi="Times New Roman" w:eastAsia="仿宋" w:cs="Times New Roman"/>
                <w:spacing w:val="-20"/>
                <w:lang w:eastAsia="zh-CN"/>
              </w:rPr>
            </w:pPr>
            <w:r>
              <w:rPr>
                <w:rFonts w:ascii="Times New Roman" w:hAnsi="Times New Roman" w:eastAsia="仿宋" w:cs="Times New Roman"/>
                <w:spacing w:val="-20"/>
                <w:lang w:eastAsia="zh-CN"/>
              </w:rPr>
              <w:t>翁牛特旗大兴灌区续建配套与节水改造项目</w:t>
            </w:r>
          </w:p>
        </w:tc>
        <w:tc>
          <w:tcPr>
            <w:tcW w:w="4944" w:type="dxa"/>
            <w:noWrap/>
            <w:vAlign w:val="center"/>
          </w:tcPr>
          <w:p w14:paraId="6B6A271B">
            <w:pPr>
              <w:autoSpaceDN/>
              <w:jc w:val="center"/>
              <w:rPr>
                <w:rFonts w:ascii="Times New Roman" w:hAnsi="Times New Roman" w:eastAsia="仿宋" w:cs="Times New Roman"/>
                <w:lang w:eastAsia="zh-CN"/>
              </w:rPr>
            </w:pPr>
            <w:r>
              <w:rPr>
                <w:rFonts w:ascii="Times New Roman" w:hAnsi="Times New Roman" w:eastAsia="仿宋" w:cs="Times New Roman"/>
                <w:lang w:eastAsia="zh-CN"/>
              </w:rPr>
              <w:t>渠道防渗、桥、涵、闸等渠系建筑物配套等。</w:t>
            </w:r>
          </w:p>
        </w:tc>
        <w:tc>
          <w:tcPr>
            <w:tcW w:w="1248" w:type="dxa"/>
            <w:noWrap/>
            <w:vAlign w:val="center"/>
          </w:tcPr>
          <w:p w14:paraId="626B2D45">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44B490A6">
            <w:pPr>
              <w:jc w:val="both"/>
              <w:textAlignment w:val="center"/>
              <w:rPr>
                <w:rFonts w:ascii="Times New Roman" w:hAnsi="Times New Roman" w:eastAsia="仿宋" w:cs="Times New Roman"/>
              </w:rPr>
            </w:pPr>
            <w:r>
              <w:rPr>
                <w:rFonts w:ascii="Times New Roman" w:hAnsi="Times New Roman" w:eastAsia="仿宋" w:cs="Times New Roman"/>
              </w:rPr>
              <w:t>2023-2024</w:t>
            </w:r>
          </w:p>
        </w:tc>
        <w:tc>
          <w:tcPr>
            <w:tcW w:w="1238" w:type="dxa"/>
            <w:noWrap/>
            <w:vAlign w:val="center"/>
          </w:tcPr>
          <w:p w14:paraId="5E1E0F50">
            <w:pPr>
              <w:jc w:val="center"/>
              <w:textAlignment w:val="center"/>
              <w:rPr>
                <w:rFonts w:ascii="Times New Roman" w:hAnsi="Times New Roman" w:eastAsia="仿宋" w:cs="Times New Roman"/>
              </w:rPr>
            </w:pPr>
            <w:r>
              <w:rPr>
                <w:rFonts w:ascii="Times New Roman" w:hAnsi="Times New Roman" w:eastAsia="仿宋" w:cs="Times New Roman"/>
              </w:rPr>
              <w:t>0.650</w:t>
            </w:r>
          </w:p>
        </w:tc>
        <w:tc>
          <w:tcPr>
            <w:tcW w:w="1275" w:type="dxa"/>
            <w:vAlign w:val="center"/>
          </w:tcPr>
          <w:p w14:paraId="423E5631">
            <w:pPr>
              <w:autoSpaceDN/>
              <w:jc w:val="center"/>
              <w:rPr>
                <w:rFonts w:ascii="Times New Roman" w:hAnsi="Times New Roman" w:eastAsia="仿宋" w:cs="Times New Roman"/>
              </w:rPr>
            </w:pPr>
            <w:r>
              <w:rPr>
                <w:rFonts w:ascii="Times New Roman" w:hAnsi="Times New Roman" w:eastAsia="仿宋" w:cs="Times New Roman"/>
              </w:rPr>
              <w:t>正在实施</w:t>
            </w:r>
          </w:p>
        </w:tc>
        <w:tc>
          <w:tcPr>
            <w:tcW w:w="1663" w:type="dxa"/>
            <w:noWrap/>
            <w:vAlign w:val="center"/>
          </w:tcPr>
          <w:p w14:paraId="4D6EEC72">
            <w:pPr>
              <w:autoSpaceDN/>
              <w:jc w:val="center"/>
              <w:rPr>
                <w:rFonts w:ascii="Times New Roman" w:hAnsi="Times New Roman" w:eastAsia="仿宋" w:cs="Times New Roman"/>
                <w:lang w:eastAsia="zh-CN"/>
              </w:rPr>
            </w:pPr>
            <w:r>
              <w:rPr>
                <w:rFonts w:ascii="Times New Roman" w:hAnsi="Times New Roman" w:eastAsia="仿宋" w:cs="Times New Roman"/>
              </w:rPr>
              <w:t>翁牛特旗</w:t>
            </w:r>
          </w:p>
          <w:p w14:paraId="6C7D5F61">
            <w:pPr>
              <w:autoSpaceDN/>
              <w:jc w:val="center"/>
              <w:rPr>
                <w:rFonts w:ascii="Times New Roman" w:hAnsi="Times New Roman" w:eastAsia="仿宋" w:cs="Times New Roman"/>
              </w:rPr>
            </w:pPr>
            <w:r>
              <w:rPr>
                <w:rFonts w:ascii="Times New Roman" w:hAnsi="Times New Roman" w:eastAsia="仿宋" w:cs="Times New Roman"/>
              </w:rPr>
              <w:t>水利局</w:t>
            </w:r>
          </w:p>
        </w:tc>
      </w:tr>
      <w:tr w14:paraId="5045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79" w:type="dxa"/>
            <w:noWrap/>
            <w:vAlign w:val="center"/>
          </w:tcPr>
          <w:p w14:paraId="25698671">
            <w:pPr>
              <w:autoSpaceDN/>
              <w:jc w:val="center"/>
              <w:rPr>
                <w:rFonts w:ascii="Times New Roman" w:hAnsi="Times New Roman" w:eastAsia="仿宋" w:cs="Times New Roman"/>
              </w:rPr>
            </w:pPr>
            <w:r>
              <w:rPr>
                <w:rFonts w:ascii="Times New Roman" w:hAnsi="Times New Roman" w:eastAsia="仿宋" w:cs="Times New Roman"/>
              </w:rPr>
              <w:t>8</w:t>
            </w:r>
          </w:p>
        </w:tc>
        <w:tc>
          <w:tcPr>
            <w:tcW w:w="2198" w:type="dxa"/>
            <w:noWrap/>
            <w:vAlign w:val="center"/>
          </w:tcPr>
          <w:p w14:paraId="5C576DAC">
            <w:pPr>
              <w:pStyle w:val="40"/>
              <w:jc w:val="center"/>
              <w:rPr>
                <w:rFonts w:ascii="Times New Roman" w:hAnsi="Times New Roman" w:cs="Times New Roman"/>
                <w:color w:val="auto"/>
                <w:sz w:val="21"/>
                <w:szCs w:val="21"/>
                <w:lang w:val="zh-CN" w:bidi="zh-CN"/>
              </w:rPr>
            </w:pPr>
            <w:r>
              <w:rPr>
                <w:rFonts w:ascii="Times New Roman" w:hAnsi="Times New Roman" w:cs="Times New Roman"/>
                <w:color w:val="auto"/>
                <w:sz w:val="21"/>
                <w:szCs w:val="21"/>
                <w:lang w:val="zh-CN" w:bidi="zh-CN"/>
              </w:rPr>
              <w:t xml:space="preserve">赤峰市200万千瓦自建调峰能力风光储多能互补一体化+荒漠治理基地项目 </w:t>
            </w:r>
          </w:p>
        </w:tc>
        <w:tc>
          <w:tcPr>
            <w:tcW w:w="4944" w:type="dxa"/>
            <w:noWrap/>
            <w:vAlign w:val="center"/>
          </w:tcPr>
          <w:p w14:paraId="21174A69">
            <w:pPr>
              <w:pStyle w:val="40"/>
              <w:jc w:val="center"/>
              <w:rPr>
                <w:rFonts w:ascii="Times New Roman" w:hAnsi="Times New Roman" w:cs="Times New Roman"/>
                <w:color w:val="auto"/>
                <w:sz w:val="21"/>
                <w:szCs w:val="21"/>
                <w:lang w:val="zh-CN" w:bidi="zh-CN"/>
              </w:rPr>
            </w:pPr>
            <w:r>
              <w:rPr>
                <w:rFonts w:ascii="Times New Roman" w:hAnsi="Times New Roman" w:cs="Times New Roman"/>
                <w:color w:val="auto"/>
                <w:sz w:val="21"/>
                <w:szCs w:val="21"/>
                <w:lang w:val="zh-CN" w:bidi="zh-CN"/>
              </w:rPr>
              <w:t>风力发电装机规模为150万千瓦、光伏发电50万千瓦，基地共配建总装机规模的20%，时长4小时（40万千瓦/160万千瓦时）的储能设施</w:t>
            </w:r>
          </w:p>
        </w:tc>
        <w:tc>
          <w:tcPr>
            <w:tcW w:w="1248" w:type="dxa"/>
            <w:noWrap/>
            <w:vAlign w:val="center"/>
          </w:tcPr>
          <w:p w14:paraId="158E5957">
            <w:pPr>
              <w:autoSpaceDN/>
              <w:jc w:val="center"/>
              <w:rPr>
                <w:rFonts w:ascii="Times New Roman" w:hAnsi="Times New Roman" w:eastAsia="仿宋" w:cs="Times New Roman"/>
              </w:rPr>
            </w:pPr>
            <w:r>
              <w:rPr>
                <w:rFonts w:ascii="Times New Roman" w:hAnsi="Times New Roman" w:eastAsia="仿宋" w:cs="Times New Roman"/>
              </w:rPr>
              <w:t>翁牛特旗</w:t>
            </w:r>
          </w:p>
        </w:tc>
        <w:tc>
          <w:tcPr>
            <w:tcW w:w="1359" w:type="dxa"/>
            <w:noWrap/>
            <w:vAlign w:val="center"/>
          </w:tcPr>
          <w:p w14:paraId="1106251E">
            <w:pPr>
              <w:pStyle w:val="40"/>
              <w:jc w:val="both"/>
              <w:rPr>
                <w:rFonts w:ascii="Times New Roman" w:hAnsi="Times New Roman" w:cs="Times New Roman"/>
                <w:color w:val="auto"/>
                <w:sz w:val="21"/>
                <w:szCs w:val="21"/>
                <w:lang w:val="zh-CN" w:bidi="zh-CN"/>
              </w:rPr>
            </w:pPr>
            <w:r>
              <w:rPr>
                <w:rFonts w:ascii="Times New Roman" w:hAnsi="Times New Roman" w:cs="Times New Roman"/>
                <w:color w:val="auto"/>
                <w:sz w:val="21"/>
                <w:szCs w:val="21"/>
                <w:lang w:val="zh-CN" w:bidi="zh-CN"/>
              </w:rPr>
              <w:t>2024-2026</w:t>
            </w:r>
          </w:p>
        </w:tc>
        <w:tc>
          <w:tcPr>
            <w:tcW w:w="1238" w:type="dxa"/>
            <w:noWrap/>
            <w:vAlign w:val="center"/>
          </w:tcPr>
          <w:p w14:paraId="33CAA074">
            <w:pPr>
              <w:pStyle w:val="40"/>
              <w:jc w:val="center"/>
              <w:rPr>
                <w:rFonts w:ascii="Times New Roman" w:hAnsi="Times New Roman" w:cs="Times New Roman"/>
                <w:color w:val="auto"/>
                <w:sz w:val="21"/>
                <w:szCs w:val="21"/>
                <w:lang w:val="zh-CN" w:bidi="zh-CN"/>
              </w:rPr>
            </w:pPr>
            <w:r>
              <w:rPr>
                <w:rFonts w:ascii="Times New Roman" w:hAnsi="Times New Roman" w:cs="Times New Roman"/>
                <w:color w:val="auto"/>
                <w:sz w:val="21"/>
                <w:szCs w:val="21"/>
                <w:lang w:val="zh-CN" w:bidi="zh-CN"/>
              </w:rPr>
              <w:t xml:space="preserve">125.550 </w:t>
            </w:r>
          </w:p>
        </w:tc>
        <w:tc>
          <w:tcPr>
            <w:tcW w:w="1275" w:type="dxa"/>
            <w:vAlign w:val="center"/>
          </w:tcPr>
          <w:p w14:paraId="7F7A5096">
            <w:pPr>
              <w:autoSpaceDN/>
              <w:jc w:val="center"/>
              <w:rPr>
                <w:rFonts w:ascii="Times New Roman" w:hAnsi="Times New Roman" w:eastAsia="仿宋" w:cs="Times New Roman"/>
              </w:rPr>
            </w:pPr>
            <w:r>
              <w:rPr>
                <w:rFonts w:ascii="Times New Roman" w:hAnsi="Times New Roman" w:eastAsia="仿宋" w:cs="Times New Roman"/>
              </w:rPr>
              <w:t>计划实施</w:t>
            </w:r>
          </w:p>
        </w:tc>
        <w:tc>
          <w:tcPr>
            <w:tcW w:w="1663" w:type="dxa"/>
            <w:noWrap/>
            <w:vAlign w:val="center"/>
          </w:tcPr>
          <w:p w14:paraId="2C4A9CB3">
            <w:pPr>
              <w:autoSpaceDN/>
              <w:jc w:val="center"/>
              <w:rPr>
                <w:rFonts w:ascii="Times New Roman" w:hAnsi="Times New Roman" w:eastAsia="仿宋" w:cs="Times New Roman"/>
                <w:lang w:eastAsia="zh-CN"/>
              </w:rPr>
            </w:pPr>
            <w:r>
              <w:rPr>
                <w:rFonts w:ascii="Times New Roman" w:hAnsi="Times New Roman" w:eastAsia="仿宋" w:cs="Times New Roman"/>
              </w:rPr>
              <w:t>翁牛特旗</w:t>
            </w:r>
          </w:p>
          <w:p w14:paraId="12729184">
            <w:pPr>
              <w:autoSpaceDN/>
              <w:jc w:val="center"/>
              <w:rPr>
                <w:rFonts w:ascii="Times New Roman" w:hAnsi="Times New Roman" w:eastAsia="仿宋" w:cs="Times New Roman"/>
              </w:rPr>
            </w:pPr>
            <w:r>
              <w:rPr>
                <w:rFonts w:ascii="Times New Roman" w:hAnsi="Times New Roman" w:eastAsia="仿宋" w:cs="Times New Roman"/>
              </w:rPr>
              <w:t>人民政府</w:t>
            </w:r>
          </w:p>
        </w:tc>
      </w:tr>
      <w:bookmarkEnd w:id="592"/>
      <w:tr w14:paraId="415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528" w:type="dxa"/>
            <w:gridSpan w:val="5"/>
            <w:noWrap/>
            <w:vAlign w:val="center"/>
          </w:tcPr>
          <w:p w14:paraId="0A04406D">
            <w:pPr>
              <w:jc w:val="center"/>
              <w:textAlignment w:val="center"/>
              <w:rPr>
                <w:rFonts w:ascii="Times New Roman" w:hAnsi="Times New Roman" w:eastAsia="仿宋" w:cs="Times New Roman"/>
              </w:rPr>
            </w:pPr>
            <w:r>
              <w:rPr>
                <w:rFonts w:ascii="Times New Roman" w:hAnsi="Times New Roman" w:eastAsia="仿宋" w:cs="Times New Roman"/>
              </w:rPr>
              <w:t>合计</w:t>
            </w:r>
          </w:p>
        </w:tc>
        <w:tc>
          <w:tcPr>
            <w:tcW w:w="1238" w:type="dxa"/>
            <w:noWrap/>
            <w:vAlign w:val="center"/>
          </w:tcPr>
          <w:p w14:paraId="6028574F">
            <w:pPr>
              <w:autoSpaceDN/>
              <w:jc w:val="center"/>
              <w:rPr>
                <w:rFonts w:ascii="Times New Roman" w:hAnsi="Times New Roman" w:eastAsia="仿宋" w:cs="Times New Roman"/>
              </w:rPr>
            </w:pPr>
            <w:r>
              <w:rPr>
                <w:rFonts w:ascii="Times New Roman" w:hAnsi="Times New Roman" w:eastAsia="仿宋" w:cs="Times New Roman"/>
              </w:rPr>
              <w:t>159.800</w:t>
            </w:r>
          </w:p>
        </w:tc>
        <w:tc>
          <w:tcPr>
            <w:tcW w:w="1275" w:type="dxa"/>
            <w:vAlign w:val="center"/>
          </w:tcPr>
          <w:p w14:paraId="06AA5702">
            <w:pPr>
              <w:autoSpaceDN/>
              <w:jc w:val="center"/>
              <w:rPr>
                <w:rFonts w:ascii="Times New Roman" w:hAnsi="Times New Roman" w:eastAsia="仿宋" w:cs="Times New Roman"/>
              </w:rPr>
            </w:pPr>
          </w:p>
        </w:tc>
        <w:tc>
          <w:tcPr>
            <w:tcW w:w="1663" w:type="dxa"/>
            <w:vAlign w:val="center"/>
          </w:tcPr>
          <w:p w14:paraId="4FD88B04">
            <w:pPr>
              <w:autoSpaceDN/>
              <w:jc w:val="center"/>
              <w:rPr>
                <w:rFonts w:ascii="Times New Roman" w:hAnsi="Times New Roman" w:eastAsia="仿宋" w:cs="Times New Roman"/>
              </w:rPr>
            </w:pPr>
          </w:p>
        </w:tc>
      </w:tr>
    </w:tbl>
    <w:p w14:paraId="34A06215">
      <w:pPr>
        <w:spacing w:line="560" w:lineRule="exact"/>
        <w:jc w:val="both"/>
        <w:rPr>
          <w:rFonts w:ascii="Times New Roman" w:hAnsi="Times New Roman" w:cs="Times New Roman"/>
          <w:color w:val="auto"/>
          <w:lang w:eastAsia="zh-CN"/>
        </w:rPr>
        <w:sectPr>
          <w:type w:val="nextColumn"/>
          <w:pgSz w:w="16839" w:h="11907" w:orient="landscape"/>
          <w:pgMar w:top="1440" w:right="1080" w:bottom="1440" w:left="1080" w:header="868" w:footer="1209" w:gutter="0"/>
          <w:cols w:space="720" w:num="1"/>
          <w:docGrid w:linePitch="286" w:charSpace="0"/>
        </w:sectPr>
      </w:pPr>
    </w:p>
    <w:p w14:paraId="07DFA11D">
      <w:pPr>
        <w:pStyle w:val="2"/>
        <w:spacing w:after="120" w:afterLines="50"/>
        <w:jc w:val="left"/>
        <w:rPr>
          <w:rFonts w:hint="default" w:ascii="Times New Roman" w:hAnsi="Times New Roman" w:eastAsia="仿宋"/>
          <w:color w:val="auto"/>
          <w:sz w:val="28"/>
          <w:szCs w:val="28"/>
        </w:rPr>
      </w:pPr>
      <w:bookmarkStart w:id="597" w:name="bookmark128"/>
      <w:bookmarkEnd w:id="597"/>
      <w:bookmarkStart w:id="598" w:name="bookmark127"/>
      <w:bookmarkEnd w:id="598"/>
      <w:bookmarkStart w:id="599" w:name="_Toc183187334"/>
      <w:r>
        <w:rPr>
          <w:rFonts w:hint="default" w:ascii="Times New Roman" w:hAnsi="Times New Roman" w:eastAsia="仿宋"/>
          <w:color w:val="auto"/>
          <w:sz w:val="28"/>
          <w:szCs w:val="28"/>
        </w:rPr>
        <w:t>附表3 生态文化体系建设工程表</w:t>
      </w:r>
      <w:bookmarkEnd w:id="599"/>
    </w:p>
    <w:tbl>
      <w:tblPr>
        <w:tblStyle w:val="22"/>
        <w:tblW w:w="146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654"/>
        <w:gridCol w:w="4502"/>
        <w:gridCol w:w="1410"/>
        <w:gridCol w:w="1441"/>
        <w:gridCol w:w="1559"/>
        <w:gridCol w:w="1231"/>
        <w:gridCol w:w="2045"/>
      </w:tblGrid>
      <w:tr w14:paraId="22E5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4" w:type="dxa"/>
            <w:shd w:val="clear" w:color="auto" w:fill="D9D9D9"/>
            <w:noWrap/>
            <w:vAlign w:val="center"/>
          </w:tcPr>
          <w:p w14:paraId="29349513">
            <w:pPr>
              <w:autoSpaceDE/>
              <w:autoSpaceDN/>
              <w:jc w:val="center"/>
              <w:rPr>
                <w:rFonts w:ascii="Times New Roman" w:hAnsi="Times New Roman" w:eastAsia="仿宋" w:cs="Times New Roman"/>
                <w:b/>
                <w:color w:val="auto"/>
              </w:rPr>
            </w:pPr>
            <w:bookmarkStart w:id="600" w:name="_bookmark118"/>
            <w:bookmarkEnd w:id="600"/>
            <w:bookmarkStart w:id="601" w:name="_bookmark114"/>
            <w:bookmarkEnd w:id="601"/>
            <w:bookmarkStart w:id="602" w:name="OLE_LINK383"/>
            <w:bookmarkStart w:id="603" w:name="OLE_LINK384"/>
            <w:r>
              <w:rPr>
                <w:rFonts w:ascii="Times New Roman" w:hAnsi="Times New Roman" w:eastAsia="仿宋" w:cs="Times New Roman"/>
                <w:b/>
                <w:color w:val="auto"/>
              </w:rPr>
              <w:t>序号</w:t>
            </w:r>
          </w:p>
        </w:tc>
        <w:tc>
          <w:tcPr>
            <w:tcW w:w="1654" w:type="dxa"/>
            <w:shd w:val="clear" w:color="auto" w:fill="D9D9D9"/>
            <w:noWrap/>
            <w:vAlign w:val="center"/>
          </w:tcPr>
          <w:p w14:paraId="6147D4F0">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项目名称</w:t>
            </w:r>
          </w:p>
        </w:tc>
        <w:tc>
          <w:tcPr>
            <w:tcW w:w="4502" w:type="dxa"/>
            <w:shd w:val="clear" w:color="auto" w:fill="D9D9D9"/>
            <w:noWrap/>
            <w:vAlign w:val="center"/>
          </w:tcPr>
          <w:p w14:paraId="1BC0EFA1">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项目内容</w:t>
            </w:r>
          </w:p>
        </w:tc>
        <w:tc>
          <w:tcPr>
            <w:tcW w:w="1410" w:type="dxa"/>
            <w:shd w:val="clear" w:color="auto" w:fill="D9D9D9"/>
            <w:noWrap/>
            <w:vAlign w:val="center"/>
          </w:tcPr>
          <w:p w14:paraId="53B5B14E">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实施地点</w:t>
            </w:r>
          </w:p>
        </w:tc>
        <w:tc>
          <w:tcPr>
            <w:tcW w:w="1441" w:type="dxa"/>
            <w:shd w:val="clear" w:color="auto" w:fill="D9D9D9"/>
            <w:noWrap/>
            <w:vAlign w:val="center"/>
          </w:tcPr>
          <w:p w14:paraId="7C5FD18D">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实施年限</w:t>
            </w:r>
          </w:p>
        </w:tc>
        <w:tc>
          <w:tcPr>
            <w:tcW w:w="1559" w:type="dxa"/>
            <w:shd w:val="clear" w:color="auto" w:fill="D9D9D9"/>
            <w:noWrap/>
            <w:vAlign w:val="center"/>
          </w:tcPr>
          <w:p w14:paraId="537E77E1">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投资概算</w:t>
            </w:r>
          </w:p>
          <w:p w14:paraId="02F714B9">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（亿元）</w:t>
            </w:r>
          </w:p>
        </w:tc>
        <w:tc>
          <w:tcPr>
            <w:tcW w:w="1231" w:type="dxa"/>
            <w:shd w:val="clear" w:color="auto" w:fill="D9D9D9"/>
            <w:vAlign w:val="center"/>
          </w:tcPr>
          <w:p w14:paraId="35C02DC3">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lang w:eastAsia="zh-CN"/>
              </w:rPr>
              <w:t>项目进展</w:t>
            </w:r>
          </w:p>
        </w:tc>
        <w:tc>
          <w:tcPr>
            <w:tcW w:w="2045" w:type="dxa"/>
            <w:shd w:val="clear" w:color="auto" w:fill="D9D9D9"/>
            <w:noWrap/>
            <w:vAlign w:val="center"/>
          </w:tcPr>
          <w:p w14:paraId="5BE2B27B">
            <w:pPr>
              <w:autoSpaceDE/>
              <w:autoSpaceDN/>
              <w:jc w:val="center"/>
              <w:rPr>
                <w:rFonts w:ascii="Times New Roman" w:hAnsi="Times New Roman" w:eastAsia="仿宋" w:cs="Times New Roman"/>
                <w:b/>
                <w:color w:val="auto"/>
              </w:rPr>
            </w:pPr>
            <w:r>
              <w:rPr>
                <w:rFonts w:ascii="Times New Roman" w:hAnsi="Times New Roman" w:eastAsia="仿宋" w:cs="Times New Roman"/>
                <w:b/>
                <w:color w:val="auto"/>
              </w:rPr>
              <w:t>责任单位</w:t>
            </w:r>
          </w:p>
        </w:tc>
      </w:tr>
      <w:tr w14:paraId="5F49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74" w:type="dxa"/>
            <w:noWrap/>
            <w:vAlign w:val="center"/>
          </w:tcPr>
          <w:p w14:paraId="6B6D7DA7">
            <w:pPr>
              <w:jc w:val="center"/>
              <w:textAlignment w:val="center"/>
              <w:rPr>
                <w:rFonts w:ascii="Times New Roman" w:hAnsi="Times New Roman" w:eastAsia="仿宋" w:cs="Times New Roman"/>
                <w:color w:val="auto"/>
                <w:lang w:eastAsia="zh-CN"/>
              </w:rPr>
            </w:pPr>
            <w:bookmarkStart w:id="604" w:name="_Hlk176941948"/>
            <w:r>
              <w:rPr>
                <w:rFonts w:ascii="Times New Roman" w:hAnsi="Times New Roman" w:eastAsia="仿宋" w:cs="Times New Roman"/>
                <w:color w:val="auto"/>
                <w:lang w:eastAsia="zh-CN" w:bidi="ar"/>
              </w:rPr>
              <w:t>1</w:t>
            </w:r>
          </w:p>
        </w:tc>
        <w:tc>
          <w:tcPr>
            <w:tcW w:w="1654" w:type="dxa"/>
            <w:noWrap/>
            <w:vAlign w:val="center"/>
          </w:tcPr>
          <w:p w14:paraId="627A642E">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中华龙文化产业园项目</w:t>
            </w:r>
          </w:p>
        </w:tc>
        <w:tc>
          <w:tcPr>
            <w:tcW w:w="4502" w:type="dxa"/>
            <w:noWrap/>
            <w:vAlign w:val="center"/>
          </w:tcPr>
          <w:p w14:paraId="0C6223F0">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以中华龙文化为主题，重点建设龙之驿、龙之源、龙之衍、龙之祭、龙之传、龙之坛六个功能区以及望子成龙研学园、生态景观带等业态项目。</w:t>
            </w:r>
          </w:p>
        </w:tc>
        <w:tc>
          <w:tcPr>
            <w:tcW w:w="1410" w:type="dxa"/>
            <w:noWrap/>
            <w:vAlign w:val="center"/>
          </w:tcPr>
          <w:p w14:paraId="2C095EE4">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翁牛特旗</w:t>
            </w:r>
          </w:p>
        </w:tc>
        <w:tc>
          <w:tcPr>
            <w:tcW w:w="1441" w:type="dxa"/>
            <w:noWrap/>
            <w:vAlign w:val="center"/>
          </w:tcPr>
          <w:p w14:paraId="7E8A2D36">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2023-2025</w:t>
            </w:r>
          </w:p>
        </w:tc>
        <w:tc>
          <w:tcPr>
            <w:tcW w:w="1559" w:type="dxa"/>
            <w:noWrap/>
            <w:vAlign w:val="center"/>
          </w:tcPr>
          <w:p w14:paraId="15F56F66">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5.000</w:t>
            </w:r>
          </w:p>
        </w:tc>
        <w:tc>
          <w:tcPr>
            <w:tcW w:w="1231" w:type="dxa"/>
            <w:vAlign w:val="center"/>
          </w:tcPr>
          <w:p w14:paraId="5EA835DC">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正在实施</w:t>
            </w:r>
          </w:p>
        </w:tc>
        <w:tc>
          <w:tcPr>
            <w:tcW w:w="2045" w:type="dxa"/>
            <w:noWrap/>
            <w:vAlign w:val="center"/>
          </w:tcPr>
          <w:p w14:paraId="03BF5C6C">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tr w14:paraId="0A46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74" w:type="dxa"/>
            <w:noWrap/>
            <w:vAlign w:val="center"/>
          </w:tcPr>
          <w:p w14:paraId="1A888BDA">
            <w:pPr>
              <w:jc w:val="center"/>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2</w:t>
            </w:r>
          </w:p>
        </w:tc>
        <w:tc>
          <w:tcPr>
            <w:tcW w:w="1654" w:type="dxa"/>
            <w:noWrap/>
            <w:vAlign w:val="center"/>
          </w:tcPr>
          <w:p w14:paraId="0369EC23">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翁牛特旗红山湖旅游项目</w:t>
            </w:r>
          </w:p>
        </w:tc>
        <w:tc>
          <w:tcPr>
            <w:tcW w:w="4502" w:type="dxa"/>
            <w:noWrap/>
            <w:vAlign w:val="center"/>
          </w:tcPr>
          <w:p w14:paraId="1194A833">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开通三横三纵镇区道路9千米，发商住楼10万平方米，修建居民广场2万平方米，综合服务楼88，建供热、供水、供电和排水项目。</w:t>
            </w:r>
          </w:p>
        </w:tc>
        <w:tc>
          <w:tcPr>
            <w:tcW w:w="1410" w:type="dxa"/>
            <w:noWrap/>
            <w:vAlign w:val="center"/>
          </w:tcPr>
          <w:p w14:paraId="0F0569D2">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翁牛特旗乌敦套海镇</w:t>
            </w:r>
          </w:p>
        </w:tc>
        <w:tc>
          <w:tcPr>
            <w:tcW w:w="1441" w:type="dxa"/>
            <w:noWrap/>
            <w:vAlign w:val="center"/>
          </w:tcPr>
          <w:p w14:paraId="5DB96718">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2023-2025</w:t>
            </w:r>
          </w:p>
        </w:tc>
        <w:tc>
          <w:tcPr>
            <w:tcW w:w="1559" w:type="dxa"/>
            <w:noWrap/>
            <w:vAlign w:val="center"/>
          </w:tcPr>
          <w:p w14:paraId="2CB4DA56">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2.600</w:t>
            </w:r>
          </w:p>
        </w:tc>
        <w:tc>
          <w:tcPr>
            <w:tcW w:w="1231" w:type="dxa"/>
            <w:vAlign w:val="center"/>
          </w:tcPr>
          <w:p w14:paraId="5391B9D0">
            <w:pPr>
              <w:autoSpaceDE/>
              <w:autoSpaceDN/>
              <w:jc w:val="center"/>
              <w:rPr>
                <w:rFonts w:ascii="Times New Roman" w:hAnsi="Times New Roman" w:eastAsia="仿宋" w:cs="Times New Roman"/>
                <w:color w:val="auto"/>
              </w:rPr>
            </w:pPr>
            <w:bookmarkStart w:id="605" w:name="OLE_LINK375"/>
            <w:bookmarkStart w:id="606" w:name="OLE_LINK376"/>
            <w:r>
              <w:rPr>
                <w:rFonts w:ascii="Times New Roman" w:hAnsi="Times New Roman" w:eastAsia="仿宋" w:cs="Times New Roman"/>
                <w:color w:val="auto"/>
                <w:lang w:eastAsia="zh-CN"/>
              </w:rPr>
              <w:t>正在实施</w:t>
            </w:r>
            <w:bookmarkEnd w:id="605"/>
            <w:bookmarkEnd w:id="606"/>
          </w:p>
        </w:tc>
        <w:tc>
          <w:tcPr>
            <w:tcW w:w="2045" w:type="dxa"/>
            <w:noWrap/>
            <w:vAlign w:val="center"/>
          </w:tcPr>
          <w:p w14:paraId="3128EE2F">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tr w14:paraId="1168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74" w:type="dxa"/>
            <w:noWrap/>
            <w:vAlign w:val="center"/>
          </w:tcPr>
          <w:p w14:paraId="45D8CEAD">
            <w:pPr>
              <w:jc w:val="center"/>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3</w:t>
            </w:r>
          </w:p>
        </w:tc>
        <w:tc>
          <w:tcPr>
            <w:tcW w:w="1654" w:type="dxa"/>
            <w:noWrap/>
            <w:vAlign w:val="center"/>
          </w:tcPr>
          <w:p w14:paraId="297D8C94">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翁牛特旗宝门银沙海项目</w:t>
            </w:r>
          </w:p>
        </w:tc>
        <w:tc>
          <w:tcPr>
            <w:tcW w:w="4502" w:type="dxa"/>
            <w:noWrap/>
            <w:vAlign w:val="center"/>
          </w:tcPr>
          <w:p w14:paraId="5086D96A">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建设沙漠公园、沙漠产业综合体，建设自驾沙漠越野旅游基地。</w:t>
            </w:r>
          </w:p>
        </w:tc>
        <w:tc>
          <w:tcPr>
            <w:tcW w:w="1410" w:type="dxa"/>
            <w:noWrap/>
            <w:vAlign w:val="center"/>
          </w:tcPr>
          <w:p w14:paraId="604F9491">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翁牛特旗</w:t>
            </w:r>
            <w:r>
              <w:rPr>
                <w:rFonts w:ascii="Times New Roman" w:hAnsi="Times New Roman" w:eastAsia="仿宋" w:cs="Times New Roman"/>
                <w:color w:val="auto"/>
                <w:shd w:val="clear" w:color="auto" w:fill="FFFFFF"/>
              </w:rPr>
              <w:t>阿什罕苏木</w:t>
            </w:r>
          </w:p>
        </w:tc>
        <w:tc>
          <w:tcPr>
            <w:tcW w:w="1441" w:type="dxa"/>
            <w:noWrap/>
            <w:vAlign w:val="center"/>
          </w:tcPr>
          <w:p w14:paraId="68036F71">
            <w:pPr>
              <w:jc w:val="center"/>
              <w:textAlignment w:val="center"/>
              <w:rPr>
                <w:rFonts w:ascii="Times New Roman" w:hAnsi="Times New Roman" w:eastAsia="仿宋" w:cs="Times New Roman"/>
                <w:color w:val="auto"/>
                <w:lang w:eastAsia="zh-CN" w:bidi="zh-CN"/>
              </w:rPr>
            </w:pPr>
            <w:r>
              <w:rPr>
                <w:rFonts w:ascii="Times New Roman" w:hAnsi="Times New Roman" w:eastAsia="仿宋" w:cs="Times New Roman"/>
                <w:color w:val="auto"/>
                <w:lang w:eastAsia="zh-CN" w:bidi="ar"/>
              </w:rPr>
              <w:t>2024</w:t>
            </w:r>
          </w:p>
        </w:tc>
        <w:tc>
          <w:tcPr>
            <w:tcW w:w="1559" w:type="dxa"/>
            <w:noWrap/>
            <w:vAlign w:val="center"/>
          </w:tcPr>
          <w:p w14:paraId="66D72A0D">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10.000</w:t>
            </w:r>
          </w:p>
        </w:tc>
        <w:tc>
          <w:tcPr>
            <w:tcW w:w="1231" w:type="dxa"/>
            <w:vAlign w:val="center"/>
          </w:tcPr>
          <w:p w14:paraId="3F1BF8F7">
            <w:pPr>
              <w:autoSpaceDE/>
              <w:autoSpaceDN/>
              <w:jc w:val="center"/>
              <w:rPr>
                <w:rFonts w:ascii="Times New Roman" w:hAnsi="Times New Roman" w:eastAsia="仿宋" w:cs="Times New Roman"/>
                <w:color w:val="auto"/>
              </w:rPr>
            </w:pPr>
            <w:bookmarkStart w:id="607" w:name="OLE_LINK374"/>
            <w:r>
              <w:rPr>
                <w:rFonts w:ascii="Times New Roman" w:hAnsi="Times New Roman" w:eastAsia="仿宋" w:cs="Times New Roman"/>
                <w:color w:val="auto"/>
                <w:lang w:eastAsia="zh-CN"/>
              </w:rPr>
              <w:t>计划实施</w:t>
            </w:r>
            <w:bookmarkEnd w:id="607"/>
          </w:p>
        </w:tc>
        <w:tc>
          <w:tcPr>
            <w:tcW w:w="2045" w:type="dxa"/>
            <w:noWrap/>
            <w:vAlign w:val="center"/>
          </w:tcPr>
          <w:p w14:paraId="6775130E">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tr w14:paraId="00A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74" w:type="dxa"/>
            <w:noWrap/>
            <w:vAlign w:val="center"/>
          </w:tcPr>
          <w:p w14:paraId="026E1D61">
            <w:pPr>
              <w:jc w:val="center"/>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4</w:t>
            </w:r>
          </w:p>
        </w:tc>
        <w:tc>
          <w:tcPr>
            <w:tcW w:w="1654" w:type="dxa"/>
            <w:noWrap/>
            <w:vAlign w:val="center"/>
          </w:tcPr>
          <w:p w14:paraId="5569D094">
            <w:pPr>
              <w:jc w:val="center"/>
              <w:textAlignment w:val="center"/>
              <w:rPr>
                <w:rStyle w:val="38"/>
                <w:rFonts w:ascii="Times New Roman" w:hAnsi="Times New Roman" w:eastAsia="仿宋" w:cs="Times New Roman"/>
                <w:color w:val="auto"/>
                <w:sz w:val="21"/>
                <w:szCs w:val="21"/>
                <w:lang w:eastAsia="zh-CN" w:bidi="ar"/>
              </w:rPr>
            </w:pPr>
            <w:r>
              <w:rPr>
                <w:rStyle w:val="38"/>
                <w:rFonts w:ascii="Times New Roman" w:hAnsi="Times New Roman" w:eastAsia="仿宋" w:cs="Times New Roman"/>
                <w:color w:val="auto"/>
                <w:sz w:val="21"/>
                <w:szCs w:val="21"/>
                <w:lang w:eastAsia="zh-CN" w:bidi="ar"/>
              </w:rPr>
              <w:t>翁牛特旗灯笼河草天驿站</w:t>
            </w:r>
          </w:p>
          <w:p w14:paraId="57739C67">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项目</w:t>
            </w:r>
          </w:p>
        </w:tc>
        <w:tc>
          <w:tcPr>
            <w:tcW w:w="4502" w:type="dxa"/>
            <w:noWrap/>
            <w:vAlign w:val="center"/>
          </w:tcPr>
          <w:p w14:paraId="0943F5B6">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打造集花海观光、生态休闲、特色美食、自驾营地等功能于一体的赤峰-克旗黄金游线上的重要旅游节点。</w:t>
            </w:r>
          </w:p>
        </w:tc>
        <w:tc>
          <w:tcPr>
            <w:tcW w:w="1410" w:type="dxa"/>
            <w:noWrap/>
            <w:vAlign w:val="center"/>
          </w:tcPr>
          <w:p w14:paraId="0F35F5E0">
            <w:pPr>
              <w:jc w:val="center"/>
              <w:textAlignment w:val="center"/>
              <w:rPr>
                <w:rFonts w:ascii="Times New Roman" w:hAnsi="Times New Roman" w:eastAsia="仿宋" w:cs="Times New Roman"/>
                <w:color w:val="auto"/>
                <w:lang w:eastAsia="zh-CN" w:bidi="zh-CN"/>
              </w:rPr>
            </w:pPr>
            <w:r>
              <w:rPr>
                <w:rFonts w:ascii="Times New Roman" w:hAnsi="Times New Roman" w:eastAsia="仿宋" w:cs="Times New Roman"/>
                <w:color w:val="auto"/>
                <w:lang w:eastAsia="zh-CN"/>
              </w:rPr>
              <w:t>翁牛特旗灯笼河牧场</w:t>
            </w:r>
          </w:p>
        </w:tc>
        <w:tc>
          <w:tcPr>
            <w:tcW w:w="1441" w:type="dxa"/>
            <w:noWrap/>
            <w:vAlign w:val="center"/>
          </w:tcPr>
          <w:p w14:paraId="2426530A">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2024</w:t>
            </w:r>
          </w:p>
        </w:tc>
        <w:tc>
          <w:tcPr>
            <w:tcW w:w="1559" w:type="dxa"/>
            <w:noWrap/>
            <w:vAlign w:val="center"/>
          </w:tcPr>
          <w:p w14:paraId="6D4C771A">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2.000</w:t>
            </w:r>
          </w:p>
        </w:tc>
        <w:tc>
          <w:tcPr>
            <w:tcW w:w="1231" w:type="dxa"/>
            <w:vAlign w:val="center"/>
          </w:tcPr>
          <w:p w14:paraId="1FC52093">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计划实施</w:t>
            </w:r>
          </w:p>
        </w:tc>
        <w:tc>
          <w:tcPr>
            <w:tcW w:w="2045" w:type="dxa"/>
            <w:noWrap/>
            <w:vAlign w:val="center"/>
          </w:tcPr>
          <w:p w14:paraId="298223CC">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tr w14:paraId="7A07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74" w:type="dxa"/>
            <w:noWrap/>
            <w:vAlign w:val="center"/>
          </w:tcPr>
          <w:p w14:paraId="3084FC7D">
            <w:pPr>
              <w:jc w:val="center"/>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5</w:t>
            </w:r>
          </w:p>
        </w:tc>
        <w:tc>
          <w:tcPr>
            <w:tcW w:w="1654" w:type="dxa"/>
            <w:noWrap/>
            <w:vAlign w:val="center"/>
          </w:tcPr>
          <w:p w14:paraId="78D7213F">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翁牛特旗德日苏生态农林休闲观光园区项目</w:t>
            </w:r>
          </w:p>
        </w:tc>
        <w:tc>
          <w:tcPr>
            <w:tcW w:w="4502" w:type="dxa"/>
            <w:noWrap/>
            <w:vAlign w:val="center"/>
          </w:tcPr>
          <w:p w14:paraId="7023716C">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项目规划面积21.8平方公里，重点建设林业科普（百树园）、花海基地、爱情公园等为主要内容的业态项目，形成“三季有花、四季有景”的景观效果，逐步建成集林业科普、休闲体验、婚纱摄影于一体的观光园区。</w:t>
            </w:r>
          </w:p>
        </w:tc>
        <w:tc>
          <w:tcPr>
            <w:tcW w:w="1410" w:type="dxa"/>
            <w:noWrap/>
            <w:vAlign w:val="center"/>
          </w:tcPr>
          <w:p w14:paraId="1AC32450">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翁牛特旗</w:t>
            </w:r>
            <w:r>
              <w:rPr>
                <w:rFonts w:ascii="Times New Roman" w:hAnsi="Times New Roman" w:eastAsia="仿宋" w:cs="Times New Roman"/>
                <w:color w:val="auto"/>
              </w:rPr>
              <w:t>德日苏嘎查</w:t>
            </w:r>
          </w:p>
        </w:tc>
        <w:tc>
          <w:tcPr>
            <w:tcW w:w="1441" w:type="dxa"/>
            <w:noWrap/>
            <w:vAlign w:val="center"/>
          </w:tcPr>
          <w:p w14:paraId="4B54D014">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2023-2025</w:t>
            </w:r>
          </w:p>
        </w:tc>
        <w:tc>
          <w:tcPr>
            <w:tcW w:w="1559" w:type="dxa"/>
            <w:noWrap/>
            <w:vAlign w:val="center"/>
          </w:tcPr>
          <w:p w14:paraId="0FBF5FE4">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1.000</w:t>
            </w:r>
          </w:p>
        </w:tc>
        <w:tc>
          <w:tcPr>
            <w:tcW w:w="1231" w:type="dxa"/>
            <w:vAlign w:val="center"/>
          </w:tcPr>
          <w:p w14:paraId="79527575">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正在实施</w:t>
            </w:r>
          </w:p>
        </w:tc>
        <w:tc>
          <w:tcPr>
            <w:tcW w:w="2045" w:type="dxa"/>
            <w:noWrap/>
            <w:vAlign w:val="center"/>
          </w:tcPr>
          <w:p w14:paraId="3BCE7263">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tr w14:paraId="5F65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74" w:type="dxa"/>
            <w:noWrap/>
            <w:vAlign w:val="center"/>
          </w:tcPr>
          <w:p w14:paraId="7E9DD82F">
            <w:pPr>
              <w:jc w:val="center"/>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6</w:t>
            </w:r>
          </w:p>
        </w:tc>
        <w:tc>
          <w:tcPr>
            <w:tcW w:w="1654" w:type="dxa"/>
            <w:noWrap/>
            <w:vAlign w:val="center"/>
          </w:tcPr>
          <w:p w14:paraId="087B806F">
            <w:pPr>
              <w:jc w:val="center"/>
              <w:textAlignment w:val="center"/>
              <w:rPr>
                <w:rFonts w:ascii="Times New Roman" w:hAnsi="Times New Roman" w:eastAsia="仿宋" w:cs="Times New Roman"/>
                <w:color w:val="auto"/>
                <w:lang w:eastAsia="zh-CN"/>
              </w:rPr>
            </w:pPr>
            <w:r>
              <w:rPr>
                <w:rStyle w:val="38"/>
                <w:rFonts w:ascii="Times New Roman" w:hAnsi="Times New Roman" w:eastAsia="仿宋" w:cs="Times New Roman"/>
                <w:color w:val="auto"/>
                <w:sz w:val="21"/>
                <w:szCs w:val="21"/>
                <w:lang w:eastAsia="zh-CN" w:bidi="ar"/>
              </w:rPr>
              <w:t>翁牛特旗综合博物馆项目</w:t>
            </w:r>
          </w:p>
        </w:tc>
        <w:tc>
          <w:tcPr>
            <w:tcW w:w="4502" w:type="dxa"/>
            <w:noWrap/>
            <w:vAlign w:val="center"/>
          </w:tcPr>
          <w:p w14:paraId="04FAD175">
            <w:pPr>
              <w:jc w:val="both"/>
              <w:textAlignment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bidi="ar"/>
              </w:rPr>
              <w:t>项目位于文旅集散中心西侧，对出土文物标本进行系统的保存、修复、整理和研究。</w:t>
            </w:r>
          </w:p>
        </w:tc>
        <w:tc>
          <w:tcPr>
            <w:tcW w:w="1410" w:type="dxa"/>
            <w:noWrap/>
            <w:vAlign w:val="center"/>
          </w:tcPr>
          <w:p w14:paraId="254232A6">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翁牛特旗</w:t>
            </w:r>
          </w:p>
          <w:p w14:paraId="779DC62B">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乌丹镇</w:t>
            </w:r>
          </w:p>
        </w:tc>
        <w:tc>
          <w:tcPr>
            <w:tcW w:w="1441" w:type="dxa"/>
            <w:noWrap/>
            <w:vAlign w:val="center"/>
          </w:tcPr>
          <w:p w14:paraId="7AC864D7">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2023-2025</w:t>
            </w:r>
          </w:p>
        </w:tc>
        <w:tc>
          <w:tcPr>
            <w:tcW w:w="1559" w:type="dxa"/>
            <w:noWrap/>
            <w:vAlign w:val="center"/>
          </w:tcPr>
          <w:p w14:paraId="74D18ACE">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0.600</w:t>
            </w:r>
          </w:p>
        </w:tc>
        <w:tc>
          <w:tcPr>
            <w:tcW w:w="1231" w:type="dxa"/>
            <w:vAlign w:val="center"/>
          </w:tcPr>
          <w:p w14:paraId="6AD33365">
            <w:pPr>
              <w:autoSpaceDE/>
              <w:autoSpaceDN/>
              <w:jc w:val="center"/>
              <w:rPr>
                <w:rFonts w:ascii="Times New Roman" w:hAnsi="Times New Roman" w:eastAsia="仿宋" w:cs="Times New Roman"/>
                <w:color w:val="auto"/>
              </w:rPr>
            </w:pPr>
            <w:r>
              <w:rPr>
                <w:rFonts w:ascii="Times New Roman" w:hAnsi="Times New Roman" w:eastAsia="仿宋" w:cs="Times New Roman"/>
                <w:color w:val="auto"/>
                <w:lang w:eastAsia="zh-CN"/>
              </w:rPr>
              <w:t>正在实施</w:t>
            </w:r>
          </w:p>
        </w:tc>
        <w:tc>
          <w:tcPr>
            <w:tcW w:w="2045" w:type="dxa"/>
            <w:noWrap/>
            <w:vAlign w:val="center"/>
          </w:tcPr>
          <w:p w14:paraId="25C70709">
            <w:pPr>
              <w:autoSpaceDE/>
              <w:autoSpaceDN/>
              <w:jc w:val="center"/>
              <w:rPr>
                <w:rFonts w:ascii="Times New Roman" w:hAnsi="Times New Roman" w:eastAsia="仿宋" w:cs="Times New Roman"/>
                <w:color w:val="auto"/>
              </w:rPr>
            </w:pPr>
            <w:r>
              <w:rPr>
                <w:rFonts w:ascii="Times New Roman" w:hAnsi="Times New Roman" w:eastAsia="仿宋" w:cs="Times New Roman"/>
                <w:color w:val="auto"/>
              </w:rPr>
              <w:t>赤峰市翁牛特旗文化旅游体育局</w:t>
            </w:r>
          </w:p>
        </w:tc>
      </w:tr>
      <w:bookmarkEnd w:id="604"/>
      <w:tr w14:paraId="60B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81" w:type="dxa"/>
            <w:gridSpan w:val="5"/>
            <w:noWrap/>
            <w:vAlign w:val="center"/>
          </w:tcPr>
          <w:p w14:paraId="5952B6D9">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合计</w:t>
            </w:r>
          </w:p>
        </w:tc>
        <w:tc>
          <w:tcPr>
            <w:tcW w:w="1559" w:type="dxa"/>
            <w:noWrap/>
            <w:vAlign w:val="center"/>
          </w:tcPr>
          <w:p w14:paraId="553D8AE8">
            <w:pPr>
              <w:autoSpaceDE/>
              <w:autoSpaceDN/>
              <w:jc w:val="center"/>
              <w:rPr>
                <w:rFonts w:ascii="Times New Roman" w:hAnsi="Times New Roman" w:eastAsia="仿宋" w:cs="Times New Roman"/>
                <w:color w:val="auto"/>
                <w:lang w:eastAsia="zh-CN"/>
              </w:rPr>
            </w:pPr>
            <w:r>
              <w:rPr>
                <w:rFonts w:ascii="Times New Roman" w:hAnsi="Times New Roman" w:eastAsia="仿宋" w:cs="Times New Roman"/>
                <w:color w:val="auto"/>
                <w:lang w:eastAsia="zh-CN"/>
              </w:rPr>
              <w:t>21.200</w:t>
            </w:r>
          </w:p>
        </w:tc>
        <w:tc>
          <w:tcPr>
            <w:tcW w:w="1231" w:type="dxa"/>
            <w:vAlign w:val="center"/>
          </w:tcPr>
          <w:p w14:paraId="7897A2D6">
            <w:pPr>
              <w:autoSpaceDE/>
              <w:autoSpaceDN/>
              <w:jc w:val="center"/>
              <w:rPr>
                <w:rFonts w:ascii="Times New Roman" w:hAnsi="Times New Roman" w:eastAsia="仿宋" w:cs="Times New Roman"/>
                <w:color w:val="auto"/>
              </w:rPr>
            </w:pPr>
          </w:p>
        </w:tc>
        <w:tc>
          <w:tcPr>
            <w:tcW w:w="2045" w:type="dxa"/>
            <w:noWrap/>
            <w:vAlign w:val="center"/>
          </w:tcPr>
          <w:p w14:paraId="3506CB96">
            <w:pPr>
              <w:autoSpaceDE/>
              <w:autoSpaceDN/>
              <w:jc w:val="center"/>
              <w:rPr>
                <w:rFonts w:ascii="Times New Roman" w:hAnsi="Times New Roman" w:eastAsia="仿宋" w:cs="Times New Roman"/>
                <w:color w:val="auto"/>
              </w:rPr>
            </w:pPr>
          </w:p>
        </w:tc>
      </w:tr>
      <w:bookmarkEnd w:id="602"/>
      <w:bookmarkEnd w:id="603"/>
    </w:tbl>
    <w:p w14:paraId="4E2E917C">
      <w:pPr>
        <w:pStyle w:val="8"/>
        <w:spacing w:line="560" w:lineRule="exact"/>
        <w:jc w:val="both"/>
        <w:rPr>
          <w:rFonts w:ascii="Times New Roman" w:hAnsi="Times New Roman" w:cs="Times New Roman"/>
          <w:color w:val="auto"/>
          <w:lang w:eastAsia="zh-CN"/>
        </w:rPr>
      </w:pPr>
    </w:p>
    <w:sectPr>
      <w:type w:val="nextColumn"/>
      <w:pgSz w:w="16839" w:h="11907" w:orient="landscape"/>
      <w:pgMar w:top="1440" w:right="1080" w:bottom="1440" w:left="1080" w:header="1020"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4555421"/>
      <w:docPartObj>
        <w:docPartGallery w:val="autotext"/>
      </w:docPartObj>
    </w:sdtPr>
    <w:sdtContent>
      <w:p w14:paraId="329F1B3E">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0A82">
    <w:pPr>
      <w:pStyle w:val="13"/>
      <w:tabs>
        <w:tab w:val="center" w:pos="4156"/>
        <w:tab w:val="left" w:pos="4260"/>
        <w:tab w:val="clear" w:pos="4153"/>
      </w:tabs>
      <w:rPr>
        <w:rFonts w:ascii="Times New Roman" w:hAnsi="Times New Roman" w:eastAsia="仿宋" w:cs="Times New Roman"/>
        <w:sz w:val="21"/>
        <w:szCs w:val="21"/>
      </w:rPr>
    </w:pPr>
    <w:r>
      <w:tab/>
    </w:r>
    <w:sdt>
      <w:sdtPr>
        <w:id w:val="-744186546"/>
      </w:sdtPr>
      <w:sdtEndPr>
        <w:rPr>
          <w:rFonts w:ascii="Times New Roman" w:hAnsi="Times New Roman" w:eastAsia="仿宋" w:cs="Times New Roman"/>
          <w:sz w:val="21"/>
          <w:szCs w:val="21"/>
        </w:rPr>
      </w:sdtEndPr>
      <w:sdtContent>
        <w:r>
          <w:rPr>
            <w:rFonts w:ascii="Times New Roman" w:hAnsi="Times New Roman" w:eastAsia="仿宋" w:cs="Times New Roman"/>
            <w:sz w:val="21"/>
            <w:szCs w:val="21"/>
          </w:rPr>
          <w:fldChar w:fldCharType="begin"/>
        </w:r>
        <w:r>
          <w:rPr>
            <w:rFonts w:ascii="Times New Roman" w:hAnsi="Times New Roman" w:eastAsia="仿宋" w:cs="Times New Roman"/>
            <w:sz w:val="21"/>
            <w:szCs w:val="21"/>
          </w:rPr>
          <w:instrText xml:space="preserve">PAGE   \* MERGEFORMAT</w:instrText>
        </w:r>
        <w:r>
          <w:rPr>
            <w:rFonts w:ascii="Times New Roman" w:hAnsi="Times New Roman" w:eastAsia="仿宋" w:cs="Times New Roman"/>
            <w:sz w:val="21"/>
            <w:szCs w:val="21"/>
          </w:rPr>
          <w:fldChar w:fldCharType="separate"/>
        </w:r>
        <w:r>
          <w:rPr>
            <w:rFonts w:ascii="Times New Roman" w:hAnsi="Times New Roman" w:eastAsia="仿宋" w:cs="Times New Roman"/>
            <w:sz w:val="21"/>
            <w:szCs w:val="21"/>
            <w:lang w:val="zh-CN" w:eastAsia="zh-CN"/>
          </w:rPr>
          <w:t>2</w:t>
        </w:r>
        <w:r>
          <w:rPr>
            <w:rFonts w:ascii="Times New Roman" w:hAnsi="Times New Roman" w:eastAsia="仿宋" w:cs="Times New Roman"/>
            <w:sz w:val="21"/>
            <w:szCs w:val="21"/>
          </w:rPr>
          <w:fldChar w:fldCharType="end"/>
        </w:r>
      </w:sdtContent>
    </w:sdt>
    <w:r>
      <w:rPr>
        <w:rFonts w:ascii="Times New Roman" w:hAnsi="Times New Roman" w:eastAsia="仿宋" w:cs="Times New Roman"/>
        <w:sz w:val="21"/>
        <w:szCs w:val="2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079128"/>
    </w:sdtPr>
    <w:sdtEndPr>
      <w:rPr>
        <w:rFonts w:ascii="Times New Roman" w:hAnsi="Times New Roman" w:cs="Times New Roman"/>
        <w:sz w:val="21"/>
      </w:rPr>
    </w:sdtEndPr>
    <w:sdtContent>
      <w:p w14:paraId="5F321606">
        <w:pPr>
          <w:pStyle w:val="13"/>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eastAsia="zh-CN"/>
          </w:rPr>
          <w:t>2</w:t>
        </w:r>
        <w:r>
          <w:rPr>
            <w:rFonts w:ascii="Times New Roman" w:hAnsi="Times New Roman" w:cs="Times New Roman"/>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CA5B">
    <w:pPr>
      <w:pStyle w:val="13"/>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rPr>
      <w:t>255</w:t>
    </w:r>
    <w:r>
      <w:rPr>
        <w:rFonts w:ascii="Times New Roman" w:hAnsi="Times New Roman" w:cs="Times New Roman"/>
        <w:sz w:val="21"/>
      </w:rPr>
      <w:fldChar w:fldCharType="end"/>
    </w:r>
  </w:p>
  <w:p w14:paraId="2E73E753">
    <w:pPr>
      <w:pStyle w:val="8"/>
      <w:spacing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89F0">
    <w:pPr>
      <w:spacing w:before="14" w:line="3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B739">
    <w:pPr>
      <w:spacing w:before="14" w:line="3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57B7">
    <w:pPr>
      <w:spacing w:before="14" w:line="34"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1367">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FD50">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71CB">
    <w:pPr>
      <w:pStyle w:val="8"/>
      <w:spacing w:line="14" w:lineRule="auto"/>
      <w:ind w:firstLine="40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5CA0">
    <w:pPr>
      <w:spacing w:before="14" w:line="3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F30CF"/>
    <w:multiLevelType w:val="multilevel"/>
    <w:tmpl w:val="23EF30CF"/>
    <w:lvl w:ilvl="0" w:tentative="0">
      <w:start w:val="6"/>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bordersDoNotSurroundHeader w:val="1"/>
  <w:bordersDoNotSurroundFooter w:val="1"/>
  <w:hideSpellingErrors/>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NjA4MDJjY2Y0OWM2OWRiOWQ3NjJkZDNiZjY2YjYifQ=="/>
  </w:docVars>
  <w:rsids>
    <w:rsidRoot w:val="003C394A"/>
    <w:rsid w:val="0000115A"/>
    <w:rsid w:val="00001772"/>
    <w:rsid w:val="000068ED"/>
    <w:rsid w:val="000116D7"/>
    <w:rsid w:val="000142B1"/>
    <w:rsid w:val="000205A6"/>
    <w:rsid w:val="00022D9A"/>
    <w:rsid w:val="000266AB"/>
    <w:rsid w:val="00033866"/>
    <w:rsid w:val="000436C5"/>
    <w:rsid w:val="0004397B"/>
    <w:rsid w:val="00053D5C"/>
    <w:rsid w:val="0005725C"/>
    <w:rsid w:val="00075D93"/>
    <w:rsid w:val="000761E2"/>
    <w:rsid w:val="00076D13"/>
    <w:rsid w:val="00077292"/>
    <w:rsid w:val="00080E97"/>
    <w:rsid w:val="0008704F"/>
    <w:rsid w:val="000877B9"/>
    <w:rsid w:val="000A0F72"/>
    <w:rsid w:val="000A2479"/>
    <w:rsid w:val="000B54E3"/>
    <w:rsid w:val="000B6164"/>
    <w:rsid w:val="000C60E2"/>
    <w:rsid w:val="000D39CB"/>
    <w:rsid w:val="000D66DF"/>
    <w:rsid w:val="001005FA"/>
    <w:rsid w:val="001054A2"/>
    <w:rsid w:val="001054D3"/>
    <w:rsid w:val="00106E42"/>
    <w:rsid w:val="0010735A"/>
    <w:rsid w:val="00110C3D"/>
    <w:rsid w:val="00112AC1"/>
    <w:rsid w:val="00112E57"/>
    <w:rsid w:val="00112EF9"/>
    <w:rsid w:val="00121EEB"/>
    <w:rsid w:val="00127582"/>
    <w:rsid w:val="00133EFC"/>
    <w:rsid w:val="00134F5A"/>
    <w:rsid w:val="00136699"/>
    <w:rsid w:val="00136A61"/>
    <w:rsid w:val="00137234"/>
    <w:rsid w:val="001429EE"/>
    <w:rsid w:val="001433A2"/>
    <w:rsid w:val="00151A33"/>
    <w:rsid w:val="00157712"/>
    <w:rsid w:val="00162296"/>
    <w:rsid w:val="001640FA"/>
    <w:rsid w:val="00171449"/>
    <w:rsid w:val="0018175C"/>
    <w:rsid w:val="00182ACC"/>
    <w:rsid w:val="00185F1B"/>
    <w:rsid w:val="00185FF3"/>
    <w:rsid w:val="00191683"/>
    <w:rsid w:val="00197FB5"/>
    <w:rsid w:val="001A4D07"/>
    <w:rsid w:val="001A746F"/>
    <w:rsid w:val="001B34F1"/>
    <w:rsid w:val="001B5D56"/>
    <w:rsid w:val="001C2C03"/>
    <w:rsid w:val="001C6369"/>
    <w:rsid w:val="001D09D5"/>
    <w:rsid w:val="001E250D"/>
    <w:rsid w:val="001E2E61"/>
    <w:rsid w:val="001E33C2"/>
    <w:rsid w:val="001F4CE7"/>
    <w:rsid w:val="002065A9"/>
    <w:rsid w:val="002129FF"/>
    <w:rsid w:val="00213953"/>
    <w:rsid w:val="00213F13"/>
    <w:rsid w:val="00217489"/>
    <w:rsid w:val="00220181"/>
    <w:rsid w:val="002217F4"/>
    <w:rsid w:val="00225248"/>
    <w:rsid w:val="00225D47"/>
    <w:rsid w:val="00226022"/>
    <w:rsid w:val="00230CE1"/>
    <w:rsid w:val="00233547"/>
    <w:rsid w:val="00250112"/>
    <w:rsid w:val="002553B7"/>
    <w:rsid w:val="002567C8"/>
    <w:rsid w:val="002650D0"/>
    <w:rsid w:val="00267206"/>
    <w:rsid w:val="002720B0"/>
    <w:rsid w:val="002822D7"/>
    <w:rsid w:val="002836AB"/>
    <w:rsid w:val="002838B7"/>
    <w:rsid w:val="00287489"/>
    <w:rsid w:val="00291419"/>
    <w:rsid w:val="00291577"/>
    <w:rsid w:val="00291ABA"/>
    <w:rsid w:val="0029418E"/>
    <w:rsid w:val="002955D1"/>
    <w:rsid w:val="002A0F12"/>
    <w:rsid w:val="002A52D3"/>
    <w:rsid w:val="002A5BB7"/>
    <w:rsid w:val="002A7998"/>
    <w:rsid w:val="002A7EF1"/>
    <w:rsid w:val="002B5497"/>
    <w:rsid w:val="002D3FFC"/>
    <w:rsid w:val="002D63F3"/>
    <w:rsid w:val="002D6523"/>
    <w:rsid w:val="002E081D"/>
    <w:rsid w:val="002F46E4"/>
    <w:rsid w:val="002F73D3"/>
    <w:rsid w:val="003006FC"/>
    <w:rsid w:val="003161A5"/>
    <w:rsid w:val="00317872"/>
    <w:rsid w:val="00324814"/>
    <w:rsid w:val="00324A53"/>
    <w:rsid w:val="00327D83"/>
    <w:rsid w:val="003453D6"/>
    <w:rsid w:val="0034702C"/>
    <w:rsid w:val="00351D33"/>
    <w:rsid w:val="00357B28"/>
    <w:rsid w:val="00360C6F"/>
    <w:rsid w:val="0036727C"/>
    <w:rsid w:val="00367597"/>
    <w:rsid w:val="00374A2E"/>
    <w:rsid w:val="00375104"/>
    <w:rsid w:val="003769FC"/>
    <w:rsid w:val="00386778"/>
    <w:rsid w:val="00390D3B"/>
    <w:rsid w:val="00392B8E"/>
    <w:rsid w:val="003A5818"/>
    <w:rsid w:val="003B1455"/>
    <w:rsid w:val="003B3D65"/>
    <w:rsid w:val="003C245B"/>
    <w:rsid w:val="003C394A"/>
    <w:rsid w:val="003D55E0"/>
    <w:rsid w:val="003E0611"/>
    <w:rsid w:val="003E475B"/>
    <w:rsid w:val="003F301C"/>
    <w:rsid w:val="00406118"/>
    <w:rsid w:val="00407B57"/>
    <w:rsid w:val="00410468"/>
    <w:rsid w:val="004141E1"/>
    <w:rsid w:val="004145C4"/>
    <w:rsid w:val="004208C2"/>
    <w:rsid w:val="00426B9E"/>
    <w:rsid w:val="00427312"/>
    <w:rsid w:val="004279A5"/>
    <w:rsid w:val="004425BA"/>
    <w:rsid w:val="00443433"/>
    <w:rsid w:val="004543F1"/>
    <w:rsid w:val="00456802"/>
    <w:rsid w:val="00462289"/>
    <w:rsid w:val="0047327D"/>
    <w:rsid w:val="004800D9"/>
    <w:rsid w:val="0048630D"/>
    <w:rsid w:val="004863CE"/>
    <w:rsid w:val="00486C8D"/>
    <w:rsid w:val="00487D6F"/>
    <w:rsid w:val="00491D30"/>
    <w:rsid w:val="00492A87"/>
    <w:rsid w:val="004A0163"/>
    <w:rsid w:val="004A29FD"/>
    <w:rsid w:val="004A31AD"/>
    <w:rsid w:val="004C161D"/>
    <w:rsid w:val="004C530C"/>
    <w:rsid w:val="004C5B67"/>
    <w:rsid w:val="004D5D0A"/>
    <w:rsid w:val="004D6C6E"/>
    <w:rsid w:val="004E62E7"/>
    <w:rsid w:val="004F0461"/>
    <w:rsid w:val="004F2944"/>
    <w:rsid w:val="004F637D"/>
    <w:rsid w:val="004F7CEC"/>
    <w:rsid w:val="00504A7D"/>
    <w:rsid w:val="00506D84"/>
    <w:rsid w:val="005206E4"/>
    <w:rsid w:val="005214BB"/>
    <w:rsid w:val="0052473E"/>
    <w:rsid w:val="00542966"/>
    <w:rsid w:val="00543171"/>
    <w:rsid w:val="00550B0F"/>
    <w:rsid w:val="0055306D"/>
    <w:rsid w:val="005647DF"/>
    <w:rsid w:val="00564F5C"/>
    <w:rsid w:val="00566F75"/>
    <w:rsid w:val="00570F89"/>
    <w:rsid w:val="005741E0"/>
    <w:rsid w:val="0058069C"/>
    <w:rsid w:val="005840B8"/>
    <w:rsid w:val="00584D9F"/>
    <w:rsid w:val="00592E6D"/>
    <w:rsid w:val="005B03CD"/>
    <w:rsid w:val="005B5D10"/>
    <w:rsid w:val="005B5DB4"/>
    <w:rsid w:val="005C7C79"/>
    <w:rsid w:val="005D1E26"/>
    <w:rsid w:val="005E1927"/>
    <w:rsid w:val="005F12F3"/>
    <w:rsid w:val="005F21AB"/>
    <w:rsid w:val="005F6651"/>
    <w:rsid w:val="00600AF4"/>
    <w:rsid w:val="00606287"/>
    <w:rsid w:val="006114EE"/>
    <w:rsid w:val="0064164D"/>
    <w:rsid w:val="00642FD3"/>
    <w:rsid w:val="006528D7"/>
    <w:rsid w:val="00654A41"/>
    <w:rsid w:val="00664BF7"/>
    <w:rsid w:val="00665921"/>
    <w:rsid w:val="00671907"/>
    <w:rsid w:val="006809E5"/>
    <w:rsid w:val="006822D0"/>
    <w:rsid w:val="0068286C"/>
    <w:rsid w:val="006848BA"/>
    <w:rsid w:val="00685013"/>
    <w:rsid w:val="00685A9E"/>
    <w:rsid w:val="00685E05"/>
    <w:rsid w:val="00686687"/>
    <w:rsid w:val="00690605"/>
    <w:rsid w:val="00690EB9"/>
    <w:rsid w:val="00695A11"/>
    <w:rsid w:val="00696E07"/>
    <w:rsid w:val="00696F78"/>
    <w:rsid w:val="006A13A5"/>
    <w:rsid w:val="006A7EBC"/>
    <w:rsid w:val="006C040D"/>
    <w:rsid w:val="006C30B7"/>
    <w:rsid w:val="006C3E26"/>
    <w:rsid w:val="006D39B0"/>
    <w:rsid w:val="006E1BE7"/>
    <w:rsid w:val="006E527F"/>
    <w:rsid w:val="006F1B2E"/>
    <w:rsid w:val="006F5CD0"/>
    <w:rsid w:val="00703CF5"/>
    <w:rsid w:val="00710B2B"/>
    <w:rsid w:val="007135CA"/>
    <w:rsid w:val="007234D3"/>
    <w:rsid w:val="00725B9B"/>
    <w:rsid w:val="00736FC2"/>
    <w:rsid w:val="00737397"/>
    <w:rsid w:val="0074154C"/>
    <w:rsid w:val="0074160B"/>
    <w:rsid w:val="007419A7"/>
    <w:rsid w:val="00741E35"/>
    <w:rsid w:val="007461CB"/>
    <w:rsid w:val="007537A5"/>
    <w:rsid w:val="0075490E"/>
    <w:rsid w:val="00755B5A"/>
    <w:rsid w:val="00756CBF"/>
    <w:rsid w:val="00777FA5"/>
    <w:rsid w:val="0078049E"/>
    <w:rsid w:val="007867F0"/>
    <w:rsid w:val="00786855"/>
    <w:rsid w:val="00790D94"/>
    <w:rsid w:val="0079476F"/>
    <w:rsid w:val="007A585C"/>
    <w:rsid w:val="007B34DA"/>
    <w:rsid w:val="007B3C35"/>
    <w:rsid w:val="007B732F"/>
    <w:rsid w:val="007B7F44"/>
    <w:rsid w:val="007D305C"/>
    <w:rsid w:val="007D3186"/>
    <w:rsid w:val="007D5D3F"/>
    <w:rsid w:val="007E06F5"/>
    <w:rsid w:val="007E1A78"/>
    <w:rsid w:val="007E36C4"/>
    <w:rsid w:val="007E500E"/>
    <w:rsid w:val="007E79C2"/>
    <w:rsid w:val="007F01AA"/>
    <w:rsid w:val="007F208F"/>
    <w:rsid w:val="007F3CA7"/>
    <w:rsid w:val="007F597E"/>
    <w:rsid w:val="00802140"/>
    <w:rsid w:val="0080329A"/>
    <w:rsid w:val="008060C7"/>
    <w:rsid w:val="00813650"/>
    <w:rsid w:val="00823336"/>
    <w:rsid w:val="00826D5F"/>
    <w:rsid w:val="00832F01"/>
    <w:rsid w:val="0083502B"/>
    <w:rsid w:val="0084409C"/>
    <w:rsid w:val="008508A1"/>
    <w:rsid w:val="00851B56"/>
    <w:rsid w:val="008577CC"/>
    <w:rsid w:val="00860639"/>
    <w:rsid w:val="00863E2F"/>
    <w:rsid w:val="00881881"/>
    <w:rsid w:val="00894B6D"/>
    <w:rsid w:val="008A3958"/>
    <w:rsid w:val="008A7E78"/>
    <w:rsid w:val="008B2667"/>
    <w:rsid w:val="008B4364"/>
    <w:rsid w:val="008C7E1F"/>
    <w:rsid w:val="008E3215"/>
    <w:rsid w:val="008F13A4"/>
    <w:rsid w:val="008F67B1"/>
    <w:rsid w:val="008F7EFD"/>
    <w:rsid w:val="00902354"/>
    <w:rsid w:val="009038E4"/>
    <w:rsid w:val="0091187A"/>
    <w:rsid w:val="009136E2"/>
    <w:rsid w:val="00917C63"/>
    <w:rsid w:val="009220CC"/>
    <w:rsid w:val="0095100F"/>
    <w:rsid w:val="009532DF"/>
    <w:rsid w:val="0095767C"/>
    <w:rsid w:val="009605AB"/>
    <w:rsid w:val="00975240"/>
    <w:rsid w:val="00977E93"/>
    <w:rsid w:val="00981990"/>
    <w:rsid w:val="00986506"/>
    <w:rsid w:val="00996A6F"/>
    <w:rsid w:val="009A5A87"/>
    <w:rsid w:val="009B1236"/>
    <w:rsid w:val="009B3EA8"/>
    <w:rsid w:val="009D011C"/>
    <w:rsid w:val="009D140A"/>
    <w:rsid w:val="009D3DD9"/>
    <w:rsid w:val="009E24B3"/>
    <w:rsid w:val="009F1496"/>
    <w:rsid w:val="009F1ED5"/>
    <w:rsid w:val="009F2BB2"/>
    <w:rsid w:val="009F5F0E"/>
    <w:rsid w:val="009F7B72"/>
    <w:rsid w:val="00A0202C"/>
    <w:rsid w:val="00A024B1"/>
    <w:rsid w:val="00A220BA"/>
    <w:rsid w:val="00A27762"/>
    <w:rsid w:val="00A30EB6"/>
    <w:rsid w:val="00A3194A"/>
    <w:rsid w:val="00A33744"/>
    <w:rsid w:val="00A364EE"/>
    <w:rsid w:val="00A37C10"/>
    <w:rsid w:val="00A43A2A"/>
    <w:rsid w:val="00A452A5"/>
    <w:rsid w:val="00A45DFD"/>
    <w:rsid w:val="00A46439"/>
    <w:rsid w:val="00A526A4"/>
    <w:rsid w:val="00A579F7"/>
    <w:rsid w:val="00A64F63"/>
    <w:rsid w:val="00A91600"/>
    <w:rsid w:val="00A9315B"/>
    <w:rsid w:val="00AA01D1"/>
    <w:rsid w:val="00AA2A5F"/>
    <w:rsid w:val="00AA40FB"/>
    <w:rsid w:val="00AB290B"/>
    <w:rsid w:val="00AB5897"/>
    <w:rsid w:val="00AC0240"/>
    <w:rsid w:val="00AD26F7"/>
    <w:rsid w:val="00AE35AE"/>
    <w:rsid w:val="00AE7908"/>
    <w:rsid w:val="00AF4F89"/>
    <w:rsid w:val="00AF6AE7"/>
    <w:rsid w:val="00AF6E1E"/>
    <w:rsid w:val="00B032A1"/>
    <w:rsid w:val="00B0771F"/>
    <w:rsid w:val="00B0789E"/>
    <w:rsid w:val="00B16546"/>
    <w:rsid w:val="00B16832"/>
    <w:rsid w:val="00B17AF8"/>
    <w:rsid w:val="00B23333"/>
    <w:rsid w:val="00B27BF2"/>
    <w:rsid w:val="00B439CE"/>
    <w:rsid w:val="00B44646"/>
    <w:rsid w:val="00B458A0"/>
    <w:rsid w:val="00B517A0"/>
    <w:rsid w:val="00B6555A"/>
    <w:rsid w:val="00B72CC9"/>
    <w:rsid w:val="00B73437"/>
    <w:rsid w:val="00B73F24"/>
    <w:rsid w:val="00B74541"/>
    <w:rsid w:val="00B82CB9"/>
    <w:rsid w:val="00B8511D"/>
    <w:rsid w:val="00B93916"/>
    <w:rsid w:val="00BA34AE"/>
    <w:rsid w:val="00BA42CF"/>
    <w:rsid w:val="00BB2D06"/>
    <w:rsid w:val="00BB7A3B"/>
    <w:rsid w:val="00BB7D7C"/>
    <w:rsid w:val="00BC3CD3"/>
    <w:rsid w:val="00BD0D7D"/>
    <w:rsid w:val="00BD5E10"/>
    <w:rsid w:val="00BD7CCD"/>
    <w:rsid w:val="00BE0EFB"/>
    <w:rsid w:val="00BE77E4"/>
    <w:rsid w:val="00BF1076"/>
    <w:rsid w:val="00BF127B"/>
    <w:rsid w:val="00BF153D"/>
    <w:rsid w:val="00BF20D5"/>
    <w:rsid w:val="00BF2613"/>
    <w:rsid w:val="00BF3F85"/>
    <w:rsid w:val="00C052ED"/>
    <w:rsid w:val="00C06766"/>
    <w:rsid w:val="00C10339"/>
    <w:rsid w:val="00C12534"/>
    <w:rsid w:val="00C25FC9"/>
    <w:rsid w:val="00C31000"/>
    <w:rsid w:val="00C330EC"/>
    <w:rsid w:val="00C36E37"/>
    <w:rsid w:val="00C43044"/>
    <w:rsid w:val="00C50D2C"/>
    <w:rsid w:val="00C533C5"/>
    <w:rsid w:val="00C55606"/>
    <w:rsid w:val="00C603B3"/>
    <w:rsid w:val="00C60DD1"/>
    <w:rsid w:val="00C65EA7"/>
    <w:rsid w:val="00C82489"/>
    <w:rsid w:val="00C8638D"/>
    <w:rsid w:val="00C86C06"/>
    <w:rsid w:val="00C93272"/>
    <w:rsid w:val="00C95BA9"/>
    <w:rsid w:val="00C963A0"/>
    <w:rsid w:val="00CA226C"/>
    <w:rsid w:val="00CA6730"/>
    <w:rsid w:val="00CB2696"/>
    <w:rsid w:val="00CB3B22"/>
    <w:rsid w:val="00CB3F04"/>
    <w:rsid w:val="00CB6050"/>
    <w:rsid w:val="00CC1A9E"/>
    <w:rsid w:val="00CC77EF"/>
    <w:rsid w:val="00CE14AE"/>
    <w:rsid w:val="00CE166B"/>
    <w:rsid w:val="00CE52BF"/>
    <w:rsid w:val="00CF0C76"/>
    <w:rsid w:val="00D01A69"/>
    <w:rsid w:val="00D13B4B"/>
    <w:rsid w:val="00D1493C"/>
    <w:rsid w:val="00D14953"/>
    <w:rsid w:val="00D167A6"/>
    <w:rsid w:val="00D226DD"/>
    <w:rsid w:val="00D24D4D"/>
    <w:rsid w:val="00D32E15"/>
    <w:rsid w:val="00D40EB4"/>
    <w:rsid w:val="00D42346"/>
    <w:rsid w:val="00D43684"/>
    <w:rsid w:val="00D45A27"/>
    <w:rsid w:val="00D46107"/>
    <w:rsid w:val="00D466E3"/>
    <w:rsid w:val="00D46B12"/>
    <w:rsid w:val="00D47686"/>
    <w:rsid w:val="00D554F9"/>
    <w:rsid w:val="00D6718A"/>
    <w:rsid w:val="00D67D3D"/>
    <w:rsid w:val="00D807D0"/>
    <w:rsid w:val="00D80A75"/>
    <w:rsid w:val="00D87FC6"/>
    <w:rsid w:val="00D90111"/>
    <w:rsid w:val="00D941BA"/>
    <w:rsid w:val="00D96D69"/>
    <w:rsid w:val="00D970B1"/>
    <w:rsid w:val="00DA76BD"/>
    <w:rsid w:val="00DB35A6"/>
    <w:rsid w:val="00DB3619"/>
    <w:rsid w:val="00DB4FC0"/>
    <w:rsid w:val="00DB636C"/>
    <w:rsid w:val="00DC14E6"/>
    <w:rsid w:val="00DC6FBA"/>
    <w:rsid w:val="00DD62A3"/>
    <w:rsid w:val="00DE11B7"/>
    <w:rsid w:val="00DE2C10"/>
    <w:rsid w:val="00DF0FD0"/>
    <w:rsid w:val="00DF4426"/>
    <w:rsid w:val="00E01DC6"/>
    <w:rsid w:val="00E02D22"/>
    <w:rsid w:val="00E03F66"/>
    <w:rsid w:val="00E06B1E"/>
    <w:rsid w:val="00E173F0"/>
    <w:rsid w:val="00E1763E"/>
    <w:rsid w:val="00E218DF"/>
    <w:rsid w:val="00E312C7"/>
    <w:rsid w:val="00E45549"/>
    <w:rsid w:val="00E45639"/>
    <w:rsid w:val="00E539FD"/>
    <w:rsid w:val="00E62B19"/>
    <w:rsid w:val="00E62C3B"/>
    <w:rsid w:val="00E653AC"/>
    <w:rsid w:val="00E708A6"/>
    <w:rsid w:val="00E74D6E"/>
    <w:rsid w:val="00E7738A"/>
    <w:rsid w:val="00E81D7D"/>
    <w:rsid w:val="00E836D6"/>
    <w:rsid w:val="00EA1C54"/>
    <w:rsid w:val="00EA4A50"/>
    <w:rsid w:val="00EA4C2A"/>
    <w:rsid w:val="00EB1CE9"/>
    <w:rsid w:val="00EB2D46"/>
    <w:rsid w:val="00EB3B96"/>
    <w:rsid w:val="00EB467C"/>
    <w:rsid w:val="00EB4A14"/>
    <w:rsid w:val="00EB575C"/>
    <w:rsid w:val="00EC12F9"/>
    <w:rsid w:val="00EC264D"/>
    <w:rsid w:val="00EC740A"/>
    <w:rsid w:val="00EF3139"/>
    <w:rsid w:val="00EF7A14"/>
    <w:rsid w:val="00EF7E36"/>
    <w:rsid w:val="00F02C88"/>
    <w:rsid w:val="00F037C0"/>
    <w:rsid w:val="00F05804"/>
    <w:rsid w:val="00F1096E"/>
    <w:rsid w:val="00F113FE"/>
    <w:rsid w:val="00F13041"/>
    <w:rsid w:val="00F233FF"/>
    <w:rsid w:val="00F245A2"/>
    <w:rsid w:val="00F3554E"/>
    <w:rsid w:val="00F474A2"/>
    <w:rsid w:val="00F60797"/>
    <w:rsid w:val="00F65487"/>
    <w:rsid w:val="00F679F4"/>
    <w:rsid w:val="00F830F2"/>
    <w:rsid w:val="00F84F08"/>
    <w:rsid w:val="00F90AEC"/>
    <w:rsid w:val="00F91B38"/>
    <w:rsid w:val="00F9202E"/>
    <w:rsid w:val="00F94E0D"/>
    <w:rsid w:val="00F959B3"/>
    <w:rsid w:val="00F9747C"/>
    <w:rsid w:val="00FA1B7E"/>
    <w:rsid w:val="00FA1DE1"/>
    <w:rsid w:val="00FA309F"/>
    <w:rsid w:val="00FA3134"/>
    <w:rsid w:val="00FA4125"/>
    <w:rsid w:val="00FA61A0"/>
    <w:rsid w:val="00FA6816"/>
    <w:rsid w:val="00FB0C82"/>
    <w:rsid w:val="00FB2F2F"/>
    <w:rsid w:val="00FD66D2"/>
    <w:rsid w:val="00FE296E"/>
    <w:rsid w:val="00FE4863"/>
    <w:rsid w:val="00FE4B22"/>
    <w:rsid w:val="00FE6C64"/>
    <w:rsid w:val="012B4372"/>
    <w:rsid w:val="0D0842E8"/>
    <w:rsid w:val="1A00116D"/>
    <w:rsid w:val="2D864472"/>
    <w:rsid w:val="3EFF653E"/>
    <w:rsid w:val="4C610C8F"/>
    <w:rsid w:val="500B1C6B"/>
    <w:rsid w:val="52074523"/>
    <w:rsid w:val="59BBAD7B"/>
    <w:rsid w:val="5C6464F7"/>
    <w:rsid w:val="705FE883"/>
    <w:rsid w:val="7B3F755E"/>
    <w:rsid w:val="7B9FEB18"/>
    <w:rsid w:val="7BEE2EF8"/>
    <w:rsid w:val="BB72DD9B"/>
    <w:rsid w:val="BBB7AC9A"/>
    <w:rsid w:val="BDEF726E"/>
    <w:rsid w:val="CCEF6B6B"/>
    <w:rsid w:val="CEBE3274"/>
    <w:rsid w:val="F6371F9C"/>
    <w:rsid w:val="FFDDE6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6"/>
    <w:qFormat/>
    <w:uiPriority w:val="0"/>
    <w:pPr>
      <w:widowControl w:val="0"/>
      <w:spacing w:line="560" w:lineRule="exact"/>
      <w:jc w:val="both"/>
      <w:outlineLvl w:val="0"/>
    </w:pPr>
    <w:rPr>
      <w:rFonts w:hint="eastAsia" w:ascii="宋体" w:hAnsi="宋体" w:eastAsia="黑体" w:cs="Times New Roman"/>
      <w:b/>
      <w:bCs/>
      <w:sz w:val="36"/>
      <w:szCs w:val="36"/>
      <w:lang w:eastAsia="zh-CN"/>
    </w:rPr>
  </w:style>
  <w:style w:type="paragraph" w:styleId="3">
    <w:name w:val="heading 2"/>
    <w:basedOn w:val="1"/>
    <w:next w:val="1"/>
    <w:link w:val="27"/>
    <w:unhideWhenUsed/>
    <w:qFormat/>
    <w:uiPriority w:val="0"/>
    <w:pPr>
      <w:keepNext/>
      <w:keepLines/>
      <w:spacing w:line="560" w:lineRule="exact"/>
      <w:jc w:val="both"/>
      <w:outlineLvl w:val="1"/>
    </w:pPr>
    <w:rPr>
      <w:rFonts w:eastAsia="黑体" w:asciiTheme="majorHAnsi" w:hAnsiTheme="majorHAnsi" w:cstheme="majorBidi"/>
      <w:b/>
      <w:bCs/>
      <w:sz w:val="30"/>
      <w:szCs w:val="32"/>
    </w:rPr>
  </w:style>
  <w:style w:type="paragraph" w:styleId="4">
    <w:name w:val="heading 3"/>
    <w:basedOn w:val="1"/>
    <w:next w:val="1"/>
    <w:qFormat/>
    <w:uiPriority w:val="9"/>
    <w:pPr>
      <w:ind w:left="1789"/>
      <w:outlineLvl w:val="2"/>
    </w:pPr>
    <w:rPr>
      <w:b/>
      <w:bCs/>
      <w:sz w:val="28"/>
      <w:szCs w:val="28"/>
    </w:rPr>
  </w:style>
  <w:style w:type="paragraph" w:styleId="5">
    <w:name w:val="heading 4"/>
    <w:basedOn w:val="1"/>
    <w:next w:val="1"/>
    <w:qFormat/>
    <w:uiPriority w:val="9"/>
    <w:pPr>
      <w:spacing w:line="349" w:lineRule="exact"/>
      <w:ind w:left="20"/>
      <w:outlineLvl w:val="3"/>
    </w:pPr>
    <w:rPr>
      <w:rFonts w:ascii="黑体" w:hAnsi="黑体" w:eastAsia="黑体" w:cs="黑体"/>
      <w:sz w:val="28"/>
      <w:szCs w:val="28"/>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rPr>
  </w:style>
  <w:style w:type="paragraph" w:styleId="7">
    <w:name w:val="annotation text"/>
    <w:basedOn w:val="1"/>
    <w:link w:val="28"/>
    <w:qFormat/>
    <w:uiPriority w:val="0"/>
  </w:style>
  <w:style w:type="paragraph" w:styleId="8">
    <w:name w:val="Body Text"/>
    <w:basedOn w:val="1"/>
    <w:link w:val="29"/>
    <w:semiHidden/>
    <w:qFormat/>
    <w:uiPriority w:val="0"/>
  </w:style>
  <w:style w:type="paragraph" w:styleId="9">
    <w:name w:val="toc 5"/>
    <w:basedOn w:val="1"/>
    <w:next w:val="1"/>
    <w:autoRedefine/>
    <w:unhideWhenUsed/>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rPr>
  </w:style>
  <w:style w:type="paragraph" w:styleId="10">
    <w:name w:val="toc 3"/>
    <w:basedOn w:val="1"/>
    <w:next w:val="1"/>
    <w:qFormat/>
    <w:uiPriority w:val="39"/>
    <w:pPr>
      <w:ind w:left="840" w:leftChars="400"/>
    </w:pPr>
  </w:style>
  <w:style w:type="paragraph" w:styleId="11">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rPr>
  </w:style>
  <w:style w:type="paragraph" w:styleId="12">
    <w:name w:val="Balloon Text"/>
    <w:basedOn w:val="1"/>
    <w:link w:val="30"/>
    <w:qFormat/>
    <w:uiPriority w:val="0"/>
    <w:rPr>
      <w:sz w:val="18"/>
      <w:szCs w:val="18"/>
    </w:rPr>
  </w:style>
  <w:style w:type="paragraph" w:styleId="13">
    <w:name w:val="footer"/>
    <w:basedOn w:val="1"/>
    <w:link w:val="31"/>
    <w:qFormat/>
    <w:uiPriority w:val="99"/>
    <w:pPr>
      <w:tabs>
        <w:tab w:val="center" w:pos="4153"/>
        <w:tab w:val="right" w:pos="8306"/>
      </w:tabs>
    </w:pPr>
    <w:rPr>
      <w:sz w:val="18"/>
      <w:szCs w:val="18"/>
    </w:rPr>
  </w:style>
  <w:style w:type="paragraph" w:styleId="14">
    <w:name w:val="header"/>
    <w:basedOn w:val="1"/>
    <w:link w:val="32"/>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39"/>
  </w:style>
  <w:style w:type="paragraph" w:styleId="16">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rPr>
  </w:style>
  <w:style w:type="paragraph" w:styleId="17">
    <w:name w:val="toc 6"/>
    <w:basedOn w:val="1"/>
    <w:next w:val="1"/>
    <w:autoRedefine/>
    <w:unhideWhenUsed/>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rPr>
  </w:style>
  <w:style w:type="paragraph" w:styleId="18">
    <w:name w:val="toc 2"/>
    <w:basedOn w:val="1"/>
    <w:next w:val="1"/>
    <w:qFormat/>
    <w:uiPriority w:val="39"/>
    <w:pPr>
      <w:ind w:left="420" w:leftChars="200"/>
    </w:pPr>
  </w:style>
  <w:style w:type="paragraph" w:styleId="19">
    <w:name w:val="toc 9"/>
    <w:basedOn w:val="1"/>
    <w:next w:val="1"/>
    <w:autoRedefine/>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rPr>
  </w:style>
  <w:style w:type="paragraph" w:styleId="20">
    <w:name w:val="Normal (Web)"/>
    <w:basedOn w:val="1"/>
    <w:qFormat/>
    <w:uiPriority w:val="99"/>
    <w:rPr>
      <w:sz w:val="24"/>
    </w:rPr>
  </w:style>
  <w:style w:type="paragraph" w:styleId="21">
    <w:name w:val="annotation subject"/>
    <w:basedOn w:val="7"/>
    <w:next w:val="7"/>
    <w:link w:val="33"/>
    <w:qFormat/>
    <w:uiPriority w:val="0"/>
    <w:rPr>
      <w:b/>
      <w:bCs/>
    </w:r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1 字符"/>
    <w:basedOn w:val="23"/>
    <w:link w:val="2"/>
    <w:qFormat/>
    <w:uiPriority w:val="0"/>
    <w:rPr>
      <w:rFonts w:ascii="宋体" w:hAnsi="宋体" w:eastAsia="黑体" w:cs="Times New Roman"/>
      <w:b/>
      <w:bCs/>
      <w:snapToGrid w:val="0"/>
      <w:color w:val="000000"/>
      <w:sz w:val="36"/>
      <w:szCs w:val="36"/>
    </w:rPr>
  </w:style>
  <w:style w:type="character" w:customStyle="1" w:styleId="27">
    <w:name w:val="标题 2 字符"/>
    <w:basedOn w:val="23"/>
    <w:link w:val="3"/>
    <w:qFormat/>
    <w:uiPriority w:val="0"/>
    <w:rPr>
      <w:rFonts w:eastAsia="黑体" w:asciiTheme="majorHAnsi" w:hAnsiTheme="majorHAnsi" w:cstheme="majorBidi"/>
      <w:b/>
      <w:bCs/>
      <w:snapToGrid w:val="0"/>
      <w:color w:val="000000"/>
      <w:sz w:val="30"/>
      <w:szCs w:val="32"/>
      <w:lang w:eastAsia="en-US"/>
    </w:rPr>
  </w:style>
  <w:style w:type="character" w:customStyle="1" w:styleId="28">
    <w:name w:val="批注文字 字符"/>
    <w:basedOn w:val="23"/>
    <w:link w:val="7"/>
    <w:qFormat/>
    <w:uiPriority w:val="0"/>
    <w:rPr>
      <w:rFonts w:ascii="Arial" w:hAnsi="Arial" w:eastAsia="Arial" w:cs="Arial"/>
      <w:snapToGrid w:val="0"/>
      <w:color w:val="000000"/>
      <w:sz w:val="21"/>
      <w:szCs w:val="21"/>
      <w:lang w:eastAsia="en-US"/>
    </w:rPr>
  </w:style>
  <w:style w:type="character" w:customStyle="1" w:styleId="29">
    <w:name w:val="正文文本 字符"/>
    <w:basedOn w:val="23"/>
    <w:link w:val="8"/>
    <w:qFormat/>
    <w:uiPriority w:val="0"/>
    <w:rPr>
      <w:rFonts w:hint="eastAsia" w:ascii="宋体" w:hAnsi="宋体" w:eastAsia="仿宋" w:cs="宋体"/>
      <w:sz w:val="28"/>
      <w:szCs w:val="24"/>
      <w:lang w:val="zh-CN" w:bidi="zh-CN"/>
    </w:rPr>
  </w:style>
  <w:style w:type="character" w:customStyle="1" w:styleId="30">
    <w:name w:val="批注框文本 字符"/>
    <w:basedOn w:val="23"/>
    <w:link w:val="12"/>
    <w:qFormat/>
    <w:uiPriority w:val="0"/>
    <w:rPr>
      <w:rFonts w:ascii="Arial" w:hAnsi="Arial" w:eastAsia="Arial" w:cs="Arial"/>
      <w:snapToGrid w:val="0"/>
      <w:color w:val="000000"/>
      <w:sz w:val="18"/>
      <w:szCs w:val="18"/>
      <w:lang w:eastAsia="en-US"/>
    </w:rPr>
  </w:style>
  <w:style w:type="character" w:customStyle="1" w:styleId="31">
    <w:name w:val="页脚 字符"/>
    <w:basedOn w:val="23"/>
    <w:link w:val="13"/>
    <w:qFormat/>
    <w:uiPriority w:val="99"/>
    <w:rPr>
      <w:rFonts w:ascii="Arial" w:hAnsi="Arial" w:eastAsia="Arial" w:cs="Arial"/>
      <w:snapToGrid w:val="0"/>
      <w:color w:val="000000"/>
      <w:sz w:val="18"/>
      <w:szCs w:val="18"/>
      <w:lang w:eastAsia="en-US"/>
    </w:rPr>
  </w:style>
  <w:style w:type="character" w:customStyle="1" w:styleId="32">
    <w:name w:val="页眉 字符"/>
    <w:basedOn w:val="23"/>
    <w:link w:val="14"/>
    <w:qFormat/>
    <w:uiPriority w:val="0"/>
    <w:rPr>
      <w:rFonts w:ascii="Arial" w:hAnsi="Arial" w:eastAsia="Arial" w:cs="Arial"/>
      <w:snapToGrid w:val="0"/>
      <w:color w:val="000000"/>
      <w:sz w:val="18"/>
      <w:szCs w:val="18"/>
      <w:lang w:eastAsia="en-US"/>
    </w:rPr>
  </w:style>
  <w:style w:type="character" w:customStyle="1" w:styleId="33">
    <w:name w:val="批注主题 字符"/>
    <w:basedOn w:val="28"/>
    <w:link w:val="21"/>
    <w:qFormat/>
    <w:uiPriority w:val="0"/>
    <w:rPr>
      <w:rFonts w:ascii="Arial" w:hAnsi="Arial" w:eastAsia="Arial" w:cs="Arial"/>
      <w:b/>
      <w:bCs/>
      <w:snapToGrid w:val="0"/>
      <w:color w:val="000000"/>
      <w:sz w:val="21"/>
      <w:szCs w:val="21"/>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rPr>
  </w:style>
  <w:style w:type="paragraph" w:customStyle="1" w:styleId="36">
    <w:name w:val="western"/>
    <w:basedOn w:val="1"/>
    <w:qFormat/>
    <w:uiPriority w:val="0"/>
    <w:pPr>
      <w:kinsoku/>
      <w:autoSpaceDE/>
      <w:autoSpaceDN/>
      <w:adjustRightInd/>
      <w:snapToGrid/>
      <w:spacing w:before="100" w:beforeAutospacing="1" w:after="100" w:afterAutospacing="1"/>
      <w:textAlignment w:val="auto"/>
    </w:pPr>
    <w:rPr>
      <w:rFonts w:ascii="宋体" w:hAnsi="宋体" w:eastAsia="仿宋" w:cs="宋体"/>
      <w:snapToGrid/>
      <w:color w:val="auto"/>
      <w:sz w:val="24"/>
      <w:szCs w:val="24"/>
      <w:lang w:eastAsia="zh-CN"/>
    </w:rPr>
  </w:style>
  <w:style w:type="character" w:customStyle="1" w:styleId="37">
    <w:name w:val="NormalCharacter"/>
    <w:semiHidden/>
    <w:qFormat/>
    <w:uiPriority w:val="0"/>
  </w:style>
  <w:style w:type="character" w:customStyle="1" w:styleId="38">
    <w:name w:val="font41"/>
    <w:basedOn w:val="23"/>
    <w:qFormat/>
    <w:uiPriority w:val="0"/>
    <w:rPr>
      <w:rFonts w:ascii="仿宋_GB2312" w:eastAsia="仿宋_GB2312" w:cs="仿宋_GB2312"/>
      <w:color w:val="000000"/>
      <w:sz w:val="24"/>
      <w:szCs w:val="24"/>
      <w:u w:val="none"/>
    </w:rPr>
  </w:style>
  <w:style w:type="paragraph" w:customStyle="1" w:styleId="39">
    <w:name w:val="TOC 标题1"/>
    <w:basedOn w:val="2"/>
    <w:next w:val="1"/>
    <w:unhideWhenUsed/>
    <w:qFormat/>
    <w:uiPriority w:val="39"/>
    <w:pPr>
      <w:keepNext/>
      <w:keepLines/>
      <w:widowControl/>
      <w:kinsoku/>
      <w:autoSpaceDE/>
      <w:autoSpaceDN/>
      <w:adjustRightInd/>
      <w:snapToGrid/>
      <w:spacing w:before="240" w:line="259" w:lineRule="auto"/>
      <w:jc w:val="left"/>
      <w:textAlignment w:val="auto"/>
      <w:outlineLvl w:val="9"/>
    </w:pPr>
    <w:rPr>
      <w:rFonts w:hint="default" w:asciiTheme="majorHAnsi" w:hAnsiTheme="majorHAnsi" w:eastAsiaTheme="majorEastAsia" w:cstheme="majorBidi"/>
      <w:b w:val="0"/>
      <w:bCs w:val="0"/>
      <w:snapToGrid/>
      <w:color w:val="376092" w:themeColor="accent1" w:themeShade="BF"/>
      <w:sz w:val="32"/>
      <w:szCs w:val="32"/>
    </w:rPr>
  </w:style>
  <w:style w:type="paragraph" w:customStyle="1" w:styleId="40">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character" w:customStyle="1" w:styleId="41">
    <w:name w:val="font31"/>
    <w:qFormat/>
    <w:uiPriority w:val="0"/>
    <w:rPr>
      <w:rFonts w:hint="eastAsia" w:ascii="宋体" w:hAnsi="宋体" w:eastAsia="宋体" w:cs="宋体"/>
      <w:color w:val="000000"/>
      <w:sz w:val="21"/>
      <w:szCs w:val="21"/>
      <w:u w:val="none"/>
    </w:rPr>
  </w:style>
  <w:style w:type="character" w:customStyle="1" w:styleId="42">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F70E-FCD9-4638-AEA6-57EC20390BDE}">
  <ds:schemaRefs/>
</ds:datastoreItem>
</file>

<file path=docProps/app.xml><?xml version="1.0" encoding="utf-8"?>
<Properties xmlns="http://schemas.openxmlformats.org/officeDocument/2006/extended-properties" xmlns:vt="http://schemas.openxmlformats.org/officeDocument/2006/docPropsVTypes">
  <Template>Normal</Template>
  <Pages>81</Pages>
  <Words>9184</Words>
  <Characters>9611</Characters>
  <Lines>399</Lines>
  <Paragraphs>112</Paragraphs>
  <TotalTime>146</TotalTime>
  <ScaleCrop>false</ScaleCrop>
  <LinksUpToDate>false</LinksUpToDate>
  <CharactersWithSpaces>9998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2024-11-22T09:06:00Z</dcterms:created>
  <dc:creator>奇异果</dc:creator>
  <cp:lastModifiedBy>演示人</cp:lastModifiedBy>
  <cp:lastPrinted>2025-03-27T00:27:00Z</cp:lastPrinted>
  <dcterms:modified xsi:type="dcterms:W3CDTF">2025-09-25T07:41:02Z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2024-05-24T08:54:45Z</vt:filetime>
  </property>
  <property fmtid="{D5CDD505-2E9C-101B-9397-08002B2CF9AE}" pid="4" name="KSOProductBuildVer">
    <vt:lpwstr>2052-12.1.0.22529</vt:lpwstr>
  </property>
  <property fmtid="{D5CDD505-2E9C-101B-9397-08002B2CF9AE}" pid="5" name="ICV">
    <vt:lpwstr>BA84881DA9E341C2A4EF59A1DAAFE5DF_13</vt:lpwstr>
  </property>
  <property fmtid="{D5CDD505-2E9C-101B-9397-08002B2CF9AE}" pid="6" name="KSOTemplateDocerSaveRecord">
    <vt:lpwstr>eyJoZGlkIjoiNDc0OTZjNmRjMmVmNDVkNmJiNzdkOGYyMjNlN2Q4MzIiLCJ1c2VySWQiOiIyMTg5NzA1NDYifQ==</vt:lpwstr>
  </property>
</Properties>
</file>